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248" w:rsidRPr="003E7106" w:rsidRDefault="00430350" w:rsidP="00D54D50">
      <w:pPr>
        <w:pStyle w:val="Title"/>
      </w:pPr>
      <w:r w:rsidRPr="003E7106">
        <w:t>Regularising the Home and Community Support Workforce</w:t>
      </w:r>
    </w:p>
    <w:p w:rsidR="00C86248" w:rsidRPr="003E7106" w:rsidRDefault="00430350" w:rsidP="00343365">
      <w:pPr>
        <w:pStyle w:val="Subhead"/>
      </w:pPr>
      <w:r w:rsidRPr="003E7106">
        <w:t>Advice to the Director-General</w:t>
      </w:r>
      <w:r w:rsidR="0082259D" w:rsidRPr="003E7106">
        <w:t>’</w:t>
      </w:r>
      <w:r w:rsidRPr="003E7106">
        <w:t>s Reference Group for In-Between Travel</w:t>
      </w:r>
    </w:p>
    <w:p w:rsidR="00053D1F" w:rsidRPr="003E7106" w:rsidRDefault="00053D1F" w:rsidP="00053D1F">
      <w:pPr>
        <w:pStyle w:val="Year"/>
      </w:pPr>
      <w:r w:rsidRPr="003E7106">
        <w:t>July 2015</w:t>
      </w:r>
    </w:p>
    <w:p w:rsidR="00430350" w:rsidRPr="003E7106" w:rsidRDefault="00430350" w:rsidP="00430350"/>
    <w:p w:rsidR="00142954" w:rsidRPr="003E7106" w:rsidRDefault="00142954" w:rsidP="00142954">
      <w:pPr>
        <w:sectPr w:rsidR="00142954" w:rsidRPr="003E7106" w:rsidSect="00680675">
          <w:footerReference w:type="default" r:id="rId9"/>
          <w:pgSz w:w="16834" w:h="11907" w:orient="landscape" w:code="9"/>
          <w:pgMar w:top="1701" w:right="1701" w:bottom="1701" w:left="1701" w:header="425" w:footer="425" w:gutter="0"/>
          <w:cols w:space="720"/>
          <w:docGrid w:linePitch="299"/>
        </w:sectPr>
      </w:pPr>
    </w:p>
    <w:tbl>
      <w:tblPr>
        <w:tblW w:w="0" w:type="auto"/>
        <w:tblInd w:w="113" w:type="dxa"/>
        <w:tblLayout w:type="fixed"/>
        <w:tblCellMar>
          <w:left w:w="113" w:type="dxa"/>
          <w:right w:w="113" w:type="dxa"/>
        </w:tblCellMar>
        <w:tblLook w:val="04A0" w:firstRow="1" w:lastRow="0" w:firstColumn="1" w:lastColumn="0" w:noHBand="0" w:noVBand="1"/>
      </w:tblPr>
      <w:tblGrid>
        <w:gridCol w:w="2943"/>
        <w:gridCol w:w="11845"/>
      </w:tblGrid>
      <w:tr w:rsidR="00852294" w:rsidRPr="003E7106" w:rsidTr="00EA57A3">
        <w:tc>
          <w:tcPr>
            <w:tcW w:w="2943" w:type="dxa"/>
            <w:shd w:val="clear" w:color="auto" w:fill="C6D9F1"/>
          </w:tcPr>
          <w:p w:rsidR="00852294" w:rsidRPr="003E7106" w:rsidRDefault="005B04CA" w:rsidP="005B04CA">
            <w:pPr>
              <w:pStyle w:val="TableText"/>
              <w:spacing w:before="240"/>
            </w:pPr>
            <w:bookmarkStart w:id="0" w:name="_Toc405792991"/>
            <w:bookmarkStart w:id="1" w:name="_Toc405793224"/>
            <w:r w:rsidRPr="003E7106">
              <w:t>The key contact people for this report are:</w:t>
            </w:r>
          </w:p>
          <w:p w:rsidR="005B04CA" w:rsidRPr="003E7106" w:rsidRDefault="005B04CA" w:rsidP="005B04CA">
            <w:pPr>
              <w:pStyle w:val="TableText"/>
              <w:spacing w:before="360"/>
              <w:rPr>
                <w:i/>
              </w:rPr>
            </w:pPr>
            <w:r w:rsidRPr="003E7106">
              <w:t>Dr Ruth Anderson</w:t>
            </w:r>
            <w:r w:rsidRPr="003E7106">
              <w:br/>
            </w:r>
            <w:r w:rsidRPr="004B31BC">
              <w:t>Group Manager, Health Workforce New Zealand, Ministry of Health</w:t>
            </w:r>
          </w:p>
          <w:p w:rsidR="005B04CA" w:rsidRPr="003E7106" w:rsidRDefault="005B04CA" w:rsidP="005B04CA">
            <w:pPr>
              <w:pStyle w:val="TableText"/>
              <w:spacing w:before="120"/>
            </w:pPr>
            <w:r w:rsidRPr="003E7106">
              <w:t>Tel: 04 816 4404</w:t>
            </w:r>
          </w:p>
          <w:p w:rsidR="005B04CA" w:rsidRPr="003E7106" w:rsidRDefault="00251E1D" w:rsidP="005B04CA">
            <w:pPr>
              <w:pStyle w:val="TableText"/>
              <w:spacing w:before="120"/>
            </w:pPr>
            <w:hyperlink r:id="rId10" w:history="1">
              <w:r w:rsidR="005B04CA" w:rsidRPr="003E7106">
                <w:rPr>
                  <w:rStyle w:val="Hyperlink"/>
                  <w:szCs w:val="18"/>
                </w:rPr>
                <w:t>Ruth_Anderson@moh.govt.nz</w:t>
              </w:r>
            </w:hyperlink>
          </w:p>
          <w:p w:rsidR="005B04CA" w:rsidRPr="003E7106" w:rsidRDefault="005B04CA" w:rsidP="005B04CA">
            <w:pPr>
              <w:pStyle w:val="TableText"/>
              <w:spacing w:before="360"/>
              <w:rPr>
                <w:i/>
              </w:rPr>
            </w:pPr>
            <w:r w:rsidRPr="003E7106">
              <w:t>Tony O</w:t>
            </w:r>
            <w:r w:rsidR="0082259D" w:rsidRPr="003E7106">
              <w:t>’</w:t>
            </w:r>
            <w:r w:rsidRPr="003E7106">
              <w:t>Rourke</w:t>
            </w:r>
            <w:r w:rsidRPr="003E7106">
              <w:br/>
            </w:r>
            <w:r w:rsidRPr="004B31BC">
              <w:t>Employment Relations Specialist, Employment Relations, National Health Board, Ministry of Health</w:t>
            </w:r>
          </w:p>
          <w:p w:rsidR="005B04CA" w:rsidRPr="003E7106" w:rsidRDefault="005B04CA" w:rsidP="005B04CA">
            <w:pPr>
              <w:pStyle w:val="TableText"/>
              <w:spacing w:before="120"/>
            </w:pPr>
            <w:r w:rsidRPr="003E7106">
              <w:t>Tel: 04 496 2095</w:t>
            </w:r>
          </w:p>
          <w:p w:rsidR="005B04CA" w:rsidRDefault="005B04CA" w:rsidP="005B04CA">
            <w:pPr>
              <w:pStyle w:val="TableText"/>
              <w:spacing w:before="120"/>
            </w:pPr>
            <w:r w:rsidRPr="003E7106">
              <w:t>Tony_O</w:t>
            </w:r>
            <w:r w:rsidR="0082259D" w:rsidRPr="003E7106">
              <w:t>’</w:t>
            </w:r>
            <w:r w:rsidRPr="003E7106">
              <w:t>Rourke@moh.govt.nz</w:t>
            </w:r>
          </w:p>
          <w:p w:rsidR="004B31BC" w:rsidRPr="003E7106" w:rsidRDefault="004B31BC" w:rsidP="004B31BC">
            <w:pPr>
              <w:pStyle w:val="TableText"/>
              <w:spacing w:before="1440"/>
            </w:pPr>
            <w:r>
              <w:t xml:space="preserve">Citation: XXXXX. 2015. </w:t>
            </w:r>
            <w:r w:rsidRPr="004B31BC">
              <w:t>Regularising the Home and Community Support Workforce</w:t>
            </w:r>
            <w:r>
              <w:t>. Wellington: Ministry of Health.</w:t>
            </w:r>
            <w:r>
              <w:br/>
            </w:r>
            <w:r>
              <w:br/>
              <w:t>Published in August 2105 by the Ministry of Health, PO Box 5013, Wellington 6145, New Zealand.</w:t>
            </w:r>
            <w:r>
              <w:br/>
            </w:r>
            <w:r>
              <w:br/>
              <w:t>ISBN 978-0-468-44849-8 (online)</w:t>
            </w:r>
            <w:r>
              <w:br/>
              <w:t xml:space="preserve">HP </w:t>
            </w:r>
            <w:r w:rsidR="006C4AE2">
              <w:t>6225</w:t>
            </w:r>
          </w:p>
        </w:tc>
        <w:tc>
          <w:tcPr>
            <w:tcW w:w="11845" w:type="dxa"/>
          </w:tcPr>
          <w:p w:rsidR="00852294" w:rsidRPr="003E7106" w:rsidRDefault="00852294" w:rsidP="00EA57A3">
            <w:pPr>
              <w:pStyle w:val="IntroHead"/>
            </w:pPr>
            <w:r w:rsidRPr="003E7106">
              <w:t>Contents</w:t>
            </w:r>
          </w:p>
          <w:p w:rsidR="00FC6704" w:rsidRDefault="00A170C8">
            <w:pPr>
              <w:pStyle w:val="TOC1"/>
              <w:rPr>
                <w:rFonts w:asciiTheme="minorHAnsi" w:eastAsiaTheme="minorEastAsia" w:hAnsiTheme="minorHAnsi" w:cstheme="minorBidi"/>
                <w:noProof/>
                <w:sz w:val="22"/>
                <w:szCs w:val="22"/>
                <w:lang w:eastAsia="en-NZ"/>
              </w:rPr>
            </w:pPr>
            <w:r w:rsidRPr="003E7106">
              <w:fldChar w:fldCharType="begin"/>
            </w:r>
            <w:r w:rsidRPr="003E7106">
              <w:instrText xml:space="preserve"> TOC \o "1-2" \u </w:instrText>
            </w:r>
            <w:r w:rsidRPr="003E7106">
              <w:fldChar w:fldCharType="separate"/>
            </w:r>
            <w:r w:rsidR="00FC6704" w:rsidRPr="00FC6704">
              <w:rPr>
                <w:b/>
                <w:noProof/>
              </w:rPr>
              <w:t>About this document</w:t>
            </w:r>
            <w:r w:rsidR="00FC6704">
              <w:rPr>
                <w:noProof/>
              </w:rPr>
              <w:tab/>
            </w:r>
            <w:r w:rsidR="00FC6704" w:rsidRPr="00FC6704">
              <w:rPr>
                <w:b/>
                <w:noProof/>
              </w:rPr>
              <w:fldChar w:fldCharType="begin"/>
            </w:r>
            <w:r w:rsidR="00FC6704" w:rsidRPr="00FC6704">
              <w:rPr>
                <w:b/>
                <w:noProof/>
              </w:rPr>
              <w:instrText xml:space="preserve"> PAGEREF _Toc426009378 \h </w:instrText>
            </w:r>
            <w:r w:rsidR="00FC6704" w:rsidRPr="00FC6704">
              <w:rPr>
                <w:b/>
                <w:noProof/>
              </w:rPr>
            </w:r>
            <w:r w:rsidR="00FC6704" w:rsidRPr="00FC6704">
              <w:rPr>
                <w:b/>
                <w:noProof/>
              </w:rPr>
              <w:fldChar w:fldCharType="separate"/>
            </w:r>
            <w:r w:rsidR="00FC6704" w:rsidRPr="00FC6704">
              <w:rPr>
                <w:b/>
                <w:noProof/>
              </w:rPr>
              <w:t>1</w:t>
            </w:r>
            <w:r w:rsidR="00FC6704" w:rsidRPr="00FC6704">
              <w:rPr>
                <w:b/>
                <w:noProof/>
              </w:rPr>
              <w:fldChar w:fldCharType="end"/>
            </w:r>
          </w:p>
          <w:p w:rsidR="00FC6704" w:rsidRDefault="00FC6704" w:rsidP="00FC6704">
            <w:pPr>
              <w:pStyle w:val="TOC2"/>
              <w:spacing w:line="240" w:lineRule="auto"/>
              <w:rPr>
                <w:rFonts w:asciiTheme="minorHAnsi" w:eastAsiaTheme="minorEastAsia" w:hAnsiTheme="minorHAnsi" w:cstheme="minorBidi"/>
                <w:i w:val="0"/>
                <w:noProof/>
                <w:sz w:val="22"/>
                <w:szCs w:val="22"/>
                <w:lang w:eastAsia="en-NZ"/>
              </w:rPr>
            </w:pPr>
            <w:r w:rsidRPr="00FC6704">
              <w:rPr>
                <w:i w:val="0"/>
                <w:noProof/>
              </w:rPr>
              <w:t>In-between Travel Settlement Agreement</w:t>
            </w:r>
            <w:r>
              <w:rPr>
                <w:noProof/>
              </w:rPr>
              <w:tab/>
            </w:r>
            <w:r w:rsidRPr="004B31BC">
              <w:rPr>
                <w:i w:val="0"/>
                <w:noProof/>
              </w:rPr>
              <w:fldChar w:fldCharType="begin"/>
            </w:r>
            <w:r w:rsidRPr="004B31BC">
              <w:rPr>
                <w:i w:val="0"/>
                <w:noProof/>
              </w:rPr>
              <w:instrText xml:space="preserve"> PAGEREF _Toc426009379 \h </w:instrText>
            </w:r>
            <w:r w:rsidRPr="004B31BC">
              <w:rPr>
                <w:i w:val="0"/>
                <w:noProof/>
              </w:rPr>
            </w:r>
            <w:r w:rsidRPr="004B31BC">
              <w:rPr>
                <w:i w:val="0"/>
                <w:noProof/>
              </w:rPr>
              <w:fldChar w:fldCharType="separate"/>
            </w:r>
            <w:r w:rsidRPr="004B31BC">
              <w:rPr>
                <w:i w:val="0"/>
                <w:noProof/>
              </w:rPr>
              <w:t>1</w:t>
            </w:r>
            <w:r w:rsidRPr="004B31BC">
              <w:rPr>
                <w:i w:val="0"/>
                <w:noProof/>
              </w:rPr>
              <w:fldChar w:fldCharType="end"/>
            </w:r>
          </w:p>
          <w:p w:rsidR="00FC6704" w:rsidRPr="00FC6704" w:rsidRDefault="00FC6704">
            <w:pPr>
              <w:pStyle w:val="TOC2"/>
              <w:rPr>
                <w:rFonts w:asciiTheme="minorHAnsi" w:eastAsiaTheme="minorEastAsia" w:hAnsiTheme="minorHAnsi" w:cstheme="minorBidi"/>
                <w:i w:val="0"/>
                <w:noProof/>
                <w:sz w:val="22"/>
                <w:szCs w:val="22"/>
                <w:lang w:eastAsia="en-NZ"/>
              </w:rPr>
            </w:pPr>
            <w:r w:rsidRPr="00FC6704">
              <w:rPr>
                <w:i w:val="0"/>
                <w:noProof/>
              </w:rPr>
              <w:t>Working group membership</w:t>
            </w:r>
            <w:r w:rsidRPr="00FC6704">
              <w:rPr>
                <w:i w:val="0"/>
                <w:noProof/>
              </w:rPr>
              <w:tab/>
            </w:r>
            <w:r w:rsidRPr="00FC6704">
              <w:rPr>
                <w:i w:val="0"/>
                <w:noProof/>
              </w:rPr>
              <w:fldChar w:fldCharType="begin"/>
            </w:r>
            <w:r w:rsidRPr="00FC6704">
              <w:rPr>
                <w:i w:val="0"/>
                <w:noProof/>
              </w:rPr>
              <w:instrText xml:space="preserve"> PAGEREF _Toc426009380 \h </w:instrText>
            </w:r>
            <w:r w:rsidRPr="00FC6704">
              <w:rPr>
                <w:i w:val="0"/>
                <w:noProof/>
              </w:rPr>
            </w:r>
            <w:r w:rsidRPr="00FC6704">
              <w:rPr>
                <w:i w:val="0"/>
                <w:noProof/>
              </w:rPr>
              <w:fldChar w:fldCharType="separate"/>
            </w:r>
            <w:r w:rsidRPr="00FC6704">
              <w:rPr>
                <w:i w:val="0"/>
                <w:noProof/>
              </w:rPr>
              <w:t>1</w:t>
            </w:r>
            <w:r w:rsidRPr="00FC6704">
              <w:rPr>
                <w:i w:val="0"/>
                <w:noProof/>
              </w:rPr>
              <w:fldChar w:fldCharType="end"/>
            </w:r>
          </w:p>
          <w:p w:rsidR="00FC6704" w:rsidRPr="00FC6704" w:rsidRDefault="00FC6704">
            <w:pPr>
              <w:pStyle w:val="TOC2"/>
              <w:rPr>
                <w:rFonts w:asciiTheme="minorHAnsi" w:eastAsiaTheme="minorEastAsia" w:hAnsiTheme="minorHAnsi" w:cstheme="minorBidi"/>
                <w:i w:val="0"/>
                <w:noProof/>
                <w:sz w:val="22"/>
                <w:szCs w:val="22"/>
                <w:lang w:eastAsia="en-NZ"/>
              </w:rPr>
            </w:pPr>
            <w:r w:rsidRPr="00FC6704">
              <w:rPr>
                <w:i w:val="0"/>
                <w:noProof/>
              </w:rPr>
              <w:t>Scope of the report</w:t>
            </w:r>
            <w:r w:rsidRPr="00FC6704">
              <w:rPr>
                <w:i w:val="0"/>
                <w:noProof/>
              </w:rPr>
              <w:tab/>
            </w:r>
            <w:r w:rsidRPr="00FC6704">
              <w:rPr>
                <w:i w:val="0"/>
                <w:noProof/>
              </w:rPr>
              <w:fldChar w:fldCharType="begin"/>
            </w:r>
            <w:r w:rsidRPr="00FC6704">
              <w:rPr>
                <w:i w:val="0"/>
                <w:noProof/>
              </w:rPr>
              <w:instrText xml:space="preserve"> PAGEREF _Toc426009381 \h </w:instrText>
            </w:r>
            <w:r w:rsidRPr="00FC6704">
              <w:rPr>
                <w:i w:val="0"/>
                <w:noProof/>
              </w:rPr>
            </w:r>
            <w:r w:rsidRPr="00FC6704">
              <w:rPr>
                <w:i w:val="0"/>
                <w:noProof/>
              </w:rPr>
              <w:fldChar w:fldCharType="separate"/>
            </w:r>
            <w:r w:rsidRPr="00FC6704">
              <w:rPr>
                <w:i w:val="0"/>
                <w:noProof/>
              </w:rPr>
              <w:t>2</w:t>
            </w:r>
            <w:r w:rsidRPr="00FC6704">
              <w:rPr>
                <w:i w:val="0"/>
                <w:noProof/>
              </w:rPr>
              <w:fldChar w:fldCharType="end"/>
            </w:r>
          </w:p>
          <w:p w:rsidR="00FC6704" w:rsidRPr="00FC6704" w:rsidRDefault="00FC6704">
            <w:pPr>
              <w:pStyle w:val="TOC2"/>
              <w:rPr>
                <w:rFonts w:asciiTheme="minorHAnsi" w:eastAsiaTheme="minorEastAsia" w:hAnsiTheme="minorHAnsi" w:cstheme="minorBidi"/>
                <w:i w:val="0"/>
                <w:noProof/>
                <w:sz w:val="22"/>
                <w:szCs w:val="22"/>
                <w:lang w:eastAsia="en-NZ"/>
              </w:rPr>
            </w:pPr>
            <w:r w:rsidRPr="00FC6704">
              <w:rPr>
                <w:i w:val="0"/>
                <w:noProof/>
              </w:rPr>
              <w:t>Caveats</w:t>
            </w:r>
            <w:r w:rsidRPr="00FC6704">
              <w:rPr>
                <w:i w:val="0"/>
                <w:noProof/>
              </w:rPr>
              <w:tab/>
            </w:r>
            <w:r w:rsidRPr="00FC6704">
              <w:rPr>
                <w:i w:val="0"/>
                <w:noProof/>
              </w:rPr>
              <w:fldChar w:fldCharType="begin"/>
            </w:r>
            <w:r w:rsidRPr="00FC6704">
              <w:rPr>
                <w:i w:val="0"/>
                <w:noProof/>
              </w:rPr>
              <w:instrText xml:space="preserve"> PAGEREF _Toc426009382 \h </w:instrText>
            </w:r>
            <w:r w:rsidRPr="00FC6704">
              <w:rPr>
                <w:i w:val="0"/>
                <w:noProof/>
              </w:rPr>
            </w:r>
            <w:r w:rsidRPr="00FC6704">
              <w:rPr>
                <w:i w:val="0"/>
                <w:noProof/>
              </w:rPr>
              <w:fldChar w:fldCharType="separate"/>
            </w:r>
            <w:r w:rsidRPr="00FC6704">
              <w:rPr>
                <w:i w:val="0"/>
                <w:noProof/>
              </w:rPr>
              <w:t>2</w:t>
            </w:r>
            <w:r w:rsidRPr="00FC6704">
              <w:rPr>
                <w:i w:val="0"/>
                <w:noProof/>
              </w:rPr>
              <w:fldChar w:fldCharType="end"/>
            </w:r>
          </w:p>
          <w:p w:rsidR="00FC6704" w:rsidRDefault="00FC6704">
            <w:pPr>
              <w:pStyle w:val="TOC2"/>
              <w:rPr>
                <w:rFonts w:asciiTheme="minorHAnsi" w:eastAsiaTheme="minorEastAsia" w:hAnsiTheme="minorHAnsi" w:cstheme="minorBidi"/>
                <w:i w:val="0"/>
                <w:noProof/>
                <w:sz w:val="22"/>
                <w:szCs w:val="22"/>
                <w:lang w:eastAsia="en-NZ"/>
              </w:rPr>
            </w:pPr>
            <w:r w:rsidRPr="00FC6704">
              <w:rPr>
                <w:i w:val="0"/>
                <w:noProof/>
              </w:rPr>
              <w:t>Potential risks to be mitigated to support the transition to regularisation</w:t>
            </w:r>
            <w:r>
              <w:rPr>
                <w:noProof/>
              </w:rPr>
              <w:tab/>
            </w:r>
            <w:r>
              <w:rPr>
                <w:noProof/>
              </w:rPr>
              <w:fldChar w:fldCharType="begin"/>
            </w:r>
            <w:r>
              <w:rPr>
                <w:noProof/>
              </w:rPr>
              <w:instrText xml:space="preserve"> PAGEREF _Toc426009383 \h </w:instrText>
            </w:r>
            <w:r>
              <w:rPr>
                <w:noProof/>
              </w:rPr>
            </w:r>
            <w:r>
              <w:rPr>
                <w:noProof/>
              </w:rPr>
              <w:fldChar w:fldCharType="separate"/>
            </w:r>
            <w:r>
              <w:rPr>
                <w:noProof/>
              </w:rPr>
              <w:t>2</w:t>
            </w:r>
            <w:r>
              <w:rPr>
                <w:noProof/>
              </w:rPr>
              <w:fldChar w:fldCharType="end"/>
            </w:r>
          </w:p>
          <w:p w:rsidR="00FC6704" w:rsidRDefault="00FC6704">
            <w:pPr>
              <w:pStyle w:val="TOC1"/>
              <w:rPr>
                <w:rFonts w:asciiTheme="minorHAnsi" w:eastAsiaTheme="minorEastAsia" w:hAnsiTheme="minorHAnsi" w:cstheme="minorBidi"/>
                <w:noProof/>
                <w:sz w:val="22"/>
                <w:szCs w:val="22"/>
                <w:lang w:eastAsia="en-NZ"/>
              </w:rPr>
            </w:pPr>
            <w:r w:rsidRPr="00FC6704">
              <w:rPr>
                <w:b/>
                <w:noProof/>
              </w:rPr>
              <w:t>Executive summary</w:t>
            </w:r>
            <w:r>
              <w:rPr>
                <w:noProof/>
              </w:rPr>
              <w:tab/>
            </w:r>
            <w:r w:rsidRPr="00FC6704">
              <w:rPr>
                <w:b/>
                <w:noProof/>
              </w:rPr>
              <w:fldChar w:fldCharType="begin"/>
            </w:r>
            <w:r w:rsidRPr="00FC6704">
              <w:rPr>
                <w:b/>
                <w:noProof/>
              </w:rPr>
              <w:instrText xml:space="preserve"> PAGEREF _Toc426009384 \h </w:instrText>
            </w:r>
            <w:r w:rsidRPr="00FC6704">
              <w:rPr>
                <w:b/>
                <w:noProof/>
              </w:rPr>
            </w:r>
            <w:r w:rsidRPr="00FC6704">
              <w:rPr>
                <w:b/>
                <w:noProof/>
              </w:rPr>
              <w:fldChar w:fldCharType="separate"/>
            </w:r>
            <w:r w:rsidRPr="00FC6704">
              <w:rPr>
                <w:b/>
                <w:noProof/>
              </w:rPr>
              <w:t>3</w:t>
            </w:r>
            <w:r w:rsidRPr="00FC6704">
              <w:rPr>
                <w:b/>
                <w:noProof/>
              </w:rPr>
              <w:fldChar w:fldCharType="end"/>
            </w:r>
          </w:p>
          <w:p w:rsidR="00FC6704" w:rsidRDefault="00FC6704">
            <w:pPr>
              <w:pStyle w:val="TOC1"/>
              <w:rPr>
                <w:rFonts w:asciiTheme="minorHAnsi" w:eastAsiaTheme="minorEastAsia" w:hAnsiTheme="minorHAnsi" w:cstheme="minorBidi"/>
                <w:noProof/>
                <w:sz w:val="22"/>
                <w:szCs w:val="22"/>
                <w:lang w:eastAsia="en-NZ"/>
              </w:rPr>
            </w:pPr>
            <w:r w:rsidRPr="00FC6704">
              <w:rPr>
                <w:b/>
                <w:noProof/>
              </w:rPr>
              <w:t>Recommendations for regularisation</w:t>
            </w:r>
            <w:r>
              <w:rPr>
                <w:noProof/>
              </w:rPr>
              <w:tab/>
            </w:r>
            <w:r w:rsidRPr="00FC6704">
              <w:rPr>
                <w:b/>
                <w:noProof/>
              </w:rPr>
              <w:fldChar w:fldCharType="begin"/>
            </w:r>
            <w:r w:rsidRPr="00FC6704">
              <w:rPr>
                <w:b/>
                <w:noProof/>
              </w:rPr>
              <w:instrText xml:space="preserve"> PAGEREF _Toc426009386 \h </w:instrText>
            </w:r>
            <w:r w:rsidRPr="00FC6704">
              <w:rPr>
                <w:b/>
                <w:noProof/>
              </w:rPr>
            </w:r>
            <w:r w:rsidRPr="00FC6704">
              <w:rPr>
                <w:b/>
                <w:noProof/>
              </w:rPr>
              <w:fldChar w:fldCharType="separate"/>
            </w:r>
            <w:r w:rsidRPr="00FC6704">
              <w:rPr>
                <w:b/>
                <w:noProof/>
              </w:rPr>
              <w:t>5</w:t>
            </w:r>
            <w:r w:rsidRPr="00FC6704">
              <w:rPr>
                <w:b/>
                <w:noProof/>
              </w:rPr>
              <w:fldChar w:fldCharType="end"/>
            </w:r>
          </w:p>
          <w:p w:rsidR="00FC6704" w:rsidRDefault="00FC6704">
            <w:pPr>
              <w:pStyle w:val="TOC1"/>
              <w:rPr>
                <w:rFonts w:asciiTheme="minorHAnsi" w:eastAsiaTheme="minorEastAsia" w:hAnsiTheme="minorHAnsi" w:cstheme="minorBidi"/>
                <w:noProof/>
                <w:sz w:val="22"/>
                <w:szCs w:val="22"/>
                <w:lang w:eastAsia="en-NZ"/>
              </w:rPr>
            </w:pPr>
            <w:r w:rsidRPr="00FC6704">
              <w:rPr>
                <w:b/>
                <w:noProof/>
              </w:rPr>
              <w:t>Transitional arrangements to achieve regularisation</w:t>
            </w:r>
            <w:r>
              <w:rPr>
                <w:noProof/>
              </w:rPr>
              <w:tab/>
            </w:r>
            <w:r w:rsidRPr="00FC6704">
              <w:rPr>
                <w:b/>
                <w:noProof/>
              </w:rPr>
              <w:fldChar w:fldCharType="begin"/>
            </w:r>
            <w:r w:rsidRPr="00FC6704">
              <w:rPr>
                <w:b/>
                <w:noProof/>
              </w:rPr>
              <w:instrText xml:space="preserve"> PAGEREF _Toc426009387 \h </w:instrText>
            </w:r>
            <w:r w:rsidRPr="00FC6704">
              <w:rPr>
                <w:b/>
                <w:noProof/>
              </w:rPr>
            </w:r>
            <w:r w:rsidRPr="00FC6704">
              <w:rPr>
                <w:b/>
                <w:noProof/>
              </w:rPr>
              <w:fldChar w:fldCharType="separate"/>
            </w:r>
            <w:r w:rsidRPr="00FC6704">
              <w:rPr>
                <w:b/>
                <w:noProof/>
              </w:rPr>
              <w:t>7</w:t>
            </w:r>
            <w:r w:rsidRPr="00FC6704">
              <w:rPr>
                <w:b/>
                <w:noProof/>
              </w:rPr>
              <w:fldChar w:fldCharType="end"/>
            </w:r>
          </w:p>
          <w:p w:rsidR="00FC6704" w:rsidRDefault="00FC6704">
            <w:pPr>
              <w:pStyle w:val="TOC1"/>
              <w:rPr>
                <w:rFonts w:asciiTheme="minorHAnsi" w:eastAsiaTheme="minorEastAsia" w:hAnsiTheme="minorHAnsi" w:cstheme="minorBidi"/>
                <w:noProof/>
                <w:sz w:val="22"/>
                <w:szCs w:val="22"/>
                <w:lang w:eastAsia="en-NZ"/>
              </w:rPr>
            </w:pPr>
            <w:r w:rsidRPr="00FC6704">
              <w:rPr>
                <w:b/>
                <w:noProof/>
              </w:rPr>
              <w:t>Background</w:t>
            </w:r>
            <w:r>
              <w:rPr>
                <w:noProof/>
              </w:rPr>
              <w:tab/>
            </w:r>
            <w:r w:rsidRPr="00FC6704">
              <w:rPr>
                <w:b/>
                <w:noProof/>
              </w:rPr>
              <w:fldChar w:fldCharType="begin"/>
            </w:r>
            <w:r w:rsidRPr="00FC6704">
              <w:rPr>
                <w:b/>
                <w:noProof/>
              </w:rPr>
              <w:instrText xml:space="preserve"> PAGEREF _Toc426009388 \h </w:instrText>
            </w:r>
            <w:r w:rsidRPr="00FC6704">
              <w:rPr>
                <w:b/>
                <w:noProof/>
              </w:rPr>
            </w:r>
            <w:r w:rsidRPr="00FC6704">
              <w:rPr>
                <w:b/>
                <w:noProof/>
              </w:rPr>
              <w:fldChar w:fldCharType="separate"/>
            </w:r>
            <w:r w:rsidRPr="00FC6704">
              <w:rPr>
                <w:b/>
                <w:noProof/>
              </w:rPr>
              <w:t>9</w:t>
            </w:r>
            <w:r w:rsidRPr="00FC6704">
              <w:rPr>
                <w:b/>
                <w:noProof/>
              </w:rPr>
              <w:fldChar w:fldCharType="end"/>
            </w:r>
          </w:p>
          <w:p w:rsidR="00FC6704" w:rsidRPr="00FC6704" w:rsidRDefault="00FC6704">
            <w:pPr>
              <w:pStyle w:val="TOC2"/>
              <w:rPr>
                <w:rFonts w:asciiTheme="minorHAnsi" w:eastAsiaTheme="minorEastAsia" w:hAnsiTheme="minorHAnsi" w:cstheme="minorBidi"/>
                <w:i w:val="0"/>
                <w:noProof/>
                <w:sz w:val="22"/>
                <w:szCs w:val="22"/>
                <w:lang w:eastAsia="en-NZ"/>
              </w:rPr>
            </w:pPr>
            <w:r w:rsidRPr="00FC6704">
              <w:rPr>
                <w:i w:val="0"/>
                <w:noProof/>
              </w:rPr>
              <w:t>Purpose of the report</w:t>
            </w:r>
            <w:r w:rsidRPr="00FC6704">
              <w:rPr>
                <w:i w:val="0"/>
                <w:noProof/>
              </w:rPr>
              <w:tab/>
            </w:r>
            <w:r w:rsidRPr="00FC6704">
              <w:rPr>
                <w:i w:val="0"/>
                <w:noProof/>
              </w:rPr>
              <w:fldChar w:fldCharType="begin"/>
            </w:r>
            <w:r w:rsidRPr="00FC6704">
              <w:rPr>
                <w:i w:val="0"/>
                <w:noProof/>
              </w:rPr>
              <w:instrText xml:space="preserve"> PAGEREF _Toc426009389 \h </w:instrText>
            </w:r>
            <w:r w:rsidRPr="00FC6704">
              <w:rPr>
                <w:i w:val="0"/>
                <w:noProof/>
              </w:rPr>
            </w:r>
            <w:r w:rsidRPr="00FC6704">
              <w:rPr>
                <w:i w:val="0"/>
                <w:noProof/>
              </w:rPr>
              <w:fldChar w:fldCharType="separate"/>
            </w:r>
            <w:r w:rsidRPr="00FC6704">
              <w:rPr>
                <w:i w:val="0"/>
                <w:noProof/>
              </w:rPr>
              <w:t>9</w:t>
            </w:r>
            <w:r w:rsidRPr="00FC6704">
              <w:rPr>
                <w:i w:val="0"/>
                <w:noProof/>
              </w:rPr>
              <w:fldChar w:fldCharType="end"/>
            </w:r>
          </w:p>
          <w:p w:rsidR="00FC6704" w:rsidRDefault="00FC6704">
            <w:pPr>
              <w:pStyle w:val="TOC2"/>
              <w:rPr>
                <w:rFonts w:asciiTheme="minorHAnsi" w:eastAsiaTheme="minorEastAsia" w:hAnsiTheme="minorHAnsi" w:cstheme="minorBidi"/>
                <w:i w:val="0"/>
                <w:noProof/>
                <w:sz w:val="22"/>
                <w:szCs w:val="22"/>
                <w:lang w:eastAsia="en-NZ"/>
              </w:rPr>
            </w:pPr>
            <w:r w:rsidRPr="00FC6704">
              <w:rPr>
                <w:i w:val="0"/>
                <w:noProof/>
              </w:rPr>
              <w:t>Ministry of Health Home and Community Support Service Workforce Survey 2015</w:t>
            </w:r>
            <w:r>
              <w:rPr>
                <w:noProof/>
              </w:rPr>
              <w:tab/>
            </w:r>
            <w:r w:rsidRPr="00FC6704">
              <w:rPr>
                <w:i w:val="0"/>
                <w:noProof/>
              </w:rPr>
              <w:fldChar w:fldCharType="begin"/>
            </w:r>
            <w:r w:rsidRPr="00FC6704">
              <w:rPr>
                <w:i w:val="0"/>
                <w:noProof/>
              </w:rPr>
              <w:instrText xml:space="preserve"> PAGEREF _Toc426009390 \h </w:instrText>
            </w:r>
            <w:r w:rsidRPr="00FC6704">
              <w:rPr>
                <w:i w:val="0"/>
                <w:noProof/>
              </w:rPr>
            </w:r>
            <w:r w:rsidRPr="00FC6704">
              <w:rPr>
                <w:i w:val="0"/>
                <w:noProof/>
              </w:rPr>
              <w:fldChar w:fldCharType="separate"/>
            </w:r>
            <w:r w:rsidRPr="00FC6704">
              <w:rPr>
                <w:i w:val="0"/>
                <w:noProof/>
              </w:rPr>
              <w:t>10</w:t>
            </w:r>
            <w:r w:rsidRPr="00FC6704">
              <w:rPr>
                <w:i w:val="0"/>
                <w:noProof/>
              </w:rPr>
              <w:fldChar w:fldCharType="end"/>
            </w:r>
          </w:p>
          <w:p w:rsidR="00FC6704" w:rsidRDefault="00FC6704">
            <w:pPr>
              <w:pStyle w:val="TOC1"/>
              <w:rPr>
                <w:rFonts w:asciiTheme="minorHAnsi" w:eastAsiaTheme="minorEastAsia" w:hAnsiTheme="minorHAnsi" w:cstheme="minorBidi"/>
                <w:noProof/>
                <w:sz w:val="22"/>
                <w:szCs w:val="22"/>
                <w:lang w:eastAsia="en-NZ"/>
              </w:rPr>
            </w:pPr>
            <w:r w:rsidRPr="00FC6704">
              <w:rPr>
                <w:b/>
                <w:noProof/>
              </w:rPr>
              <w:t>Growing demand and more complex care for HCSS</w:t>
            </w:r>
            <w:r>
              <w:rPr>
                <w:noProof/>
              </w:rPr>
              <w:tab/>
            </w:r>
            <w:r w:rsidRPr="00FC6704">
              <w:rPr>
                <w:b/>
                <w:noProof/>
              </w:rPr>
              <w:fldChar w:fldCharType="begin"/>
            </w:r>
            <w:r w:rsidRPr="00FC6704">
              <w:rPr>
                <w:b/>
                <w:noProof/>
              </w:rPr>
              <w:instrText xml:space="preserve"> PAGEREF _Toc426009391 \h </w:instrText>
            </w:r>
            <w:r w:rsidRPr="00FC6704">
              <w:rPr>
                <w:b/>
                <w:noProof/>
              </w:rPr>
            </w:r>
            <w:r w:rsidRPr="00FC6704">
              <w:rPr>
                <w:b/>
                <w:noProof/>
              </w:rPr>
              <w:fldChar w:fldCharType="separate"/>
            </w:r>
            <w:r w:rsidRPr="00FC6704">
              <w:rPr>
                <w:b/>
                <w:noProof/>
              </w:rPr>
              <w:t>11</w:t>
            </w:r>
            <w:r w:rsidRPr="00FC6704">
              <w:rPr>
                <w:b/>
                <w:noProof/>
              </w:rPr>
              <w:fldChar w:fldCharType="end"/>
            </w:r>
          </w:p>
          <w:p w:rsidR="00FC6704" w:rsidRDefault="00FC6704">
            <w:pPr>
              <w:pStyle w:val="TOC1"/>
              <w:rPr>
                <w:rFonts w:asciiTheme="minorHAnsi" w:eastAsiaTheme="minorEastAsia" w:hAnsiTheme="minorHAnsi" w:cstheme="minorBidi"/>
                <w:noProof/>
                <w:sz w:val="22"/>
                <w:szCs w:val="22"/>
                <w:lang w:eastAsia="en-NZ"/>
              </w:rPr>
            </w:pPr>
            <w:r w:rsidRPr="00FC6704">
              <w:rPr>
                <w:b/>
                <w:noProof/>
              </w:rPr>
              <w:t>The home and community support workforce</w:t>
            </w:r>
            <w:r>
              <w:rPr>
                <w:noProof/>
              </w:rPr>
              <w:tab/>
            </w:r>
            <w:r w:rsidRPr="00FC6704">
              <w:rPr>
                <w:b/>
                <w:noProof/>
              </w:rPr>
              <w:fldChar w:fldCharType="begin"/>
            </w:r>
            <w:r w:rsidRPr="00FC6704">
              <w:rPr>
                <w:b/>
                <w:noProof/>
              </w:rPr>
              <w:instrText xml:space="preserve"> PAGEREF _Toc426009392 \h </w:instrText>
            </w:r>
            <w:r w:rsidRPr="00FC6704">
              <w:rPr>
                <w:b/>
                <w:noProof/>
              </w:rPr>
            </w:r>
            <w:r w:rsidRPr="00FC6704">
              <w:rPr>
                <w:b/>
                <w:noProof/>
              </w:rPr>
              <w:fldChar w:fldCharType="separate"/>
            </w:r>
            <w:r w:rsidRPr="00FC6704">
              <w:rPr>
                <w:b/>
                <w:noProof/>
              </w:rPr>
              <w:t>13</w:t>
            </w:r>
            <w:r w:rsidRPr="00FC6704">
              <w:rPr>
                <w:b/>
                <w:noProof/>
              </w:rPr>
              <w:fldChar w:fldCharType="end"/>
            </w:r>
          </w:p>
          <w:p w:rsidR="00FC6704" w:rsidRPr="00FC6704" w:rsidRDefault="00FC6704">
            <w:pPr>
              <w:pStyle w:val="TOC2"/>
              <w:rPr>
                <w:rFonts w:asciiTheme="minorHAnsi" w:eastAsiaTheme="minorEastAsia" w:hAnsiTheme="minorHAnsi" w:cstheme="minorBidi"/>
                <w:i w:val="0"/>
                <w:noProof/>
                <w:sz w:val="22"/>
                <w:szCs w:val="22"/>
                <w:lang w:eastAsia="en-NZ"/>
              </w:rPr>
            </w:pPr>
            <w:r w:rsidRPr="00FC6704">
              <w:rPr>
                <w:i w:val="0"/>
                <w:noProof/>
              </w:rPr>
              <w:t>Future workforce</w:t>
            </w:r>
            <w:r w:rsidRPr="00FC6704">
              <w:rPr>
                <w:i w:val="0"/>
                <w:noProof/>
              </w:rPr>
              <w:tab/>
            </w:r>
            <w:r w:rsidRPr="00FC6704">
              <w:rPr>
                <w:i w:val="0"/>
                <w:noProof/>
              </w:rPr>
              <w:fldChar w:fldCharType="begin"/>
            </w:r>
            <w:r w:rsidRPr="00FC6704">
              <w:rPr>
                <w:i w:val="0"/>
                <w:noProof/>
              </w:rPr>
              <w:instrText xml:space="preserve"> PAGEREF _Toc426009393 \h </w:instrText>
            </w:r>
            <w:r w:rsidRPr="00FC6704">
              <w:rPr>
                <w:i w:val="0"/>
                <w:noProof/>
              </w:rPr>
            </w:r>
            <w:r w:rsidRPr="00FC6704">
              <w:rPr>
                <w:i w:val="0"/>
                <w:noProof/>
              </w:rPr>
              <w:fldChar w:fldCharType="separate"/>
            </w:r>
            <w:r w:rsidRPr="00FC6704">
              <w:rPr>
                <w:i w:val="0"/>
                <w:noProof/>
              </w:rPr>
              <w:t>13</w:t>
            </w:r>
            <w:r w:rsidRPr="00FC6704">
              <w:rPr>
                <w:i w:val="0"/>
                <w:noProof/>
              </w:rPr>
              <w:fldChar w:fldCharType="end"/>
            </w:r>
          </w:p>
          <w:p w:rsidR="00FC6704" w:rsidRPr="00FC6704" w:rsidRDefault="00FC6704">
            <w:pPr>
              <w:pStyle w:val="TOC2"/>
              <w:rPr>
                <w:rFonts w:asciiTheme="minorHAnsi" w:eastAsiaTheme="minorEastAsia" w:hAnsiTheme="minorHAnsi" w:cstheme="minorBidi"/>
                <w:i w:val="0"/>
                <w:noProof/>
                <w:sz w:val="22"/>
                <w:szCs w:val="22"/>
                <w:lang w:eastAsia="en-NZ"/>
              </w:rPr>
            </w:pPr>
            <w:r w:rsidRPr="00FC6704">
              <w:rPr>
                <w:i w:val="0"/>
                <w:noProof/>
              </w:rPr>
              <w:t>Long-term vision for the Support Worker workforce</w:t>
            </w:r>
            <w:r>
              <w:rPr>
                <w:noProof/>
              </w:rPr>
              <w:tab/>
            </w:r>
            <w:r w:rsidRPr="00FC6704">
              <w:rPr>
                <w:i w:val="0"/>
                <w:noProof/>
              </w:rPr>
              <w:fldChar w:fldCharType="begin"/>
            </w:r>
            <w:r w:rsidRPr="00FC6704">
              <w:rPr>
                <w:i w:val="0"/>
                <w:noProof/>
              </w:rPr>
              <w:instrText xml:space="preserve"> PAGEREF _Toc426009394 \h </w:instrText>
            </w:r>
            <w:r w:rsidRPr="00FC6704">
              <w:rPr>
                <w:i w:val="0"/>
                <w:noProof/>
              </w:rPr>
            </w:r>
            <w:r w:rsidRPr="00FC6704">
              <w:rPr>
                <w:i w:val="0"/>
                <w:noProof/>
              </w:rPr>
              <w:fldChar w:fldCharType="separate"/>
            </w:r>
            <w:r w:rsidRPr="00FC6704">
              <w:rPr>
                <w:i w:val="0"/>
                <w:noProof/>
              </w:rPr>
              <w:t>13</w:t>
            </w:r>
            <w:r w:rsidRPr="00FC6704">
              <w:rPr>
                <w:i w:val="0"/>
                <w:noProof/>
              </w:rPr>
              <w:fldChar w:fldCharType="end"/>
            </w:r>
          </w:p>
          <w:p w:rsidR="00FC6704" w:rsidRDefault="00FC6704">
            <w:pPr>
              <w:pStyle w:val="TOC1"/>
              <w:rPr>
                <w:rFonts w:asciiTheme="minorHAnsi" w:eastAsiaTheme="minorEastAsia" w:hAnsiTheme="minorHAnsi" w:cstheme="minorBidi"/>
                <w:noProof/>
                <w:sz w:val="22"/>
                <w:szCs w:val="22"/>
                <w:lang w:eastAsia="en-NZ"/>
              </w:rPr>
            </w:pPr>
            <w:r w:rsidRPr="00FC6704">
              <w:rPr>
                <w:b/>
                <w:noProof/>
              </w:rPr>
              <w:t>Current funding arrangements</w:t>
            </w:r>
            <w:r>
              <w:rPr>
                <w:noProof/>
              </w:rPr>
              <w:tab/>
            </w:r>
            <w:r w:rsidRPr="00FC6704">
              <w:rPr>
                <w:b/>
                <w:noProof/>
              </w:rPr>
              <w:fldChar w:fldCharType="begin"/>
            </w:r>
            <w:r w:rsidRPr="00FC6704">
              <w:rPr>
                <w:b/>
                <w:noProof/>
              </w:rPr>
              <w:instrText xml:space="preserve"> PAGEREF _Toc426009395 \h </w:instrText>
            </w:r>
            <w:r w:rsidRPr="00FC6704">
              <w:rPr>
                <w:b/>
                <w:noProof/>
              </w:rPr>
            </w:r>
            <w:r w:rsidRPr="00FC6704">
              <w:rPr>
                <w:b/>
                <w:noProof/>
              </w:rPr>
              <w:fldChar w:fldCharType="separate"/>
            </w:r>
            <w:r w:rsidRPr="00FC6704">
              <w:rPr>
                <w:b/>
                <w:noProof/>
              </w:rPr>
              <w:t>15</w:t>
            </w:r>
            <w:r w:rsidRPr="00FC6704">
              <w:rPr>
                <w:b/>
                <w:noProof/>
              </w:rPr>
              <w:fldChar w:fldCharType="end"/>
            </w:r>
          </w:p>
          <w:p w:rsidR="00FC6704" w:rsidRPr="00FC6704" w:rsidRDefault="00FC6704">
            <w:pPr>
              <w:pStyle w:val="TOC2"/>
              <w:rPr>
                <w:rFonts w:asciiTheme="minorHAnsi" w:eastAsiaTheme="minorEastAsia" w:hAnsiTheme="minorHAnsi" w:cstheme="minorBidi"/>
                <w:i w:val="0"/>
                <w:noProof/>
                <w:sz w:val="22"/>
                <w:szCs w:val="22"/>
                <w:lang w:eastAsia="en-NZ"/>
              </w:rPr>
            </w:pPr>
            <w:r w:rsidRPr="00FC6704">
              <w:rPr>
                <w:i w:val="0"/>
                <w:noProof/>
              </w:rPr>
              <w:t>Overview</w:t>
            </w:r>
            <w:r w:rsidRPr="00FC6704">
              <w:rPr>
                <w:i w:val="0"/>
                <w:noProof/>
              </w:rPr>
              <w:tab/>
            </w:r>
            <w:r w:rsidRPr="00FC6704">
              <w:rPr>
                <w:i w:val="0"/>
                <w:noProof/>
              </w:rPr>
              <w:fldChar w:fldCharType="begin"/>
            </w:r>
            <w:r w:rsidRPr="00FC6704">
              <w:rPr>
                <w:i w:val="0"/>
                <w:noProof/>
              </w:rPr>
              <w:instrText xml:space="preserve"> PAGEREF _Toc426009396 \h </w:instrText>
            </w:r>
            <w:r w:rsidRPr="00FC6704">
              <w:rPr>
                <w:i w:val="0"/>
                <w:noProof/>
              </w:rPr>
            </w:r>
            <w:r w:rsidRPr="00FC6704">
              <w:rPr>
                <w:i w:val="0"/>
                <w:noProof/>
              </w:rPr>
              <w:fldChar w:fldCharType="separate"/>
            </w:r>
            <w:r w:rsidRPr="00FC6704">
              <w:rPr>
                <w:i w:val="0"/>
                <w:noProof/>
              </w:rPr>
              <w:t>15</w:t>
            </w:r>
            <w:r w:rsidRPr="00FC6704">
              <w:rPr>
                <w:i w:val="0"/>
                <w:noProof/>
              </w:rPr>
              <w:fldChar w:fldCharType="end"/>
            </w:r>
          </w:p>
          <w:p w:rsidR="00FC6704" w:rsidRPr="00FC6704" w:rsidRDefault="00FC6704">
            <w:pPr>
              <w:pStyle w:val="TOC2"/>
              <w:rPr>
                <w:rFonts w:asciiTheme="minorHAnsi" w:eastAsiaTheme="minorEastAsia" w:hAnsiTheme="minorHAnsi" w:cstheme="minorBidi"/>
                <w:i w:val="0"/>
                <w:noProof/>
                <w:sz w:val="22"/>
                <w:szCs w:val="22"/>
                <w:lang w:eastAsia="en-NZ"/>
              </w:rPr>
            </w:pPr>
            <w:r w:rsidRPr="00FC6704">
              <w:rPr>
                <w:i w:val="0"/>
                <w:noProof/>
              </w:rPr>
              <w:t>Addressing problems with the current pricing model</w:t>
            </w:r>
            <w:r w:rsidRPr="00FC6704">
              <w:rPr>
                <w:i w:val="0"/>
                <w:noProof/>
              </w:rPr>
              <w:tab/>
            </w:r>
            <w:r w:rsidRPr="00FC6704">
              <w:rPr>
                <w:i w:val="0"/>
                <w:noProof/>
              </w:rPr>
              <w:fldChar w:fldCharType="begin"/>
            </w:r>
            <w:r w:rsidRPr="00FC6704">
              <w:rPr>
                <w:i w:val="0"/>
                <w:noProof/>
              </w:rPr>
              <w:instrText xml:space="preserve"> PAGEREF _Toc426009397 \h </w:instrText>
            </w:r>
            <w:r w:rsidRPr="00FC6704">
              <w:rPr>
                <w:i w:val="0"/>
                <w:noProof/>
              </w:rPr>
            </w:r>
            <w:r w:rsidRPr="00FC6704">
              <w:rPr>
                <w:i w:val="0"/>
                <w:noProof/>
              </w:rPr>
              <w:fldChar w:fldCharType="separate"/>
            </w:r>
            <w:r w:rsidRPr="00FC6704">
              <w:rPr>
                <w:i w:val="0"/>
                <w:noProof/>
              </w:rPr>
              <w:t>15</w:t>
            </w:r>
            <w:r w:rsidRPr="00FC6704">
              <w:rPr>
                <w:i w:val="0"/>
                <w:noProof/>
              </w:rPr>
              <w:fldChar w:fldCharType="end"/>
            </w:r>
          </w:p>
          <w:p w:rsidR="00FC6704" w:rsidRPr="00FC6704" w:rsidRDefault="00FC6704">
            <w:pPr>
              <w:pStyle w:val="TOC2"/>
              <w:rPr>
                <w:rFonts w:asciiTheme="minorHAnsi" w:eastAsiaTheme="minorEastAsia" w:hAnsiTheme="minorHAnsi" w:cstheme="minorBidi"/>
                <w:i w:val="0"/>
                <w:noProof/>
                <w:sz w:val="22"/>
                <w:szCs w:val="22"/>
                <w:lang w:eastAsia="en-NZ"/>
              </w:rPr>
            </w:pPr>
            <w:r w:rsidRPr="00FC6704">
              <w:rPr>
                <w:i w:val="0"/>
                <w:noProof/>
              </w:rPr>
              <w:t>Problems with fee-for-service and bulk funding arrangements</w:t>
            </w:r>
            <w:r w:rsidRPr="00FC6704">
              <w:rPr>
                <w:i w:val="0"/>
                <w:noProof/>
              </w:rPr>
              <w:tab/>
            </w:r>
            <w:r w:rsidRPr="00FC6704">
              <w:rPr>
                <w:i w:val="0"/>
                <w:noProof/>
              </w:rPr>
              <w:fldChar w:fldCharType="begin"/>
            </w:r>
            <w:r w:rsidRPr="00FC6704">
              <w:rPr>
                <w:i w:val="0"/>
                <w:noProof/>
              </w:rPr>
              <w:instrText xml:space="preserve"> PAGEREF _Toc426009398 \h </w:instrText>
            </w:r>
            <w:r w:rsidRPr="00FC6704">
              <w:rPr>
                <w:i w:val="0"/>
                <w:noProof/>
              </w:rPr>
            </w:r>
            <w:r w:rsidRPr="00FC6704">
              <w:rPr>
                <w:i w:val="0"/>
                <w:noProof/>
              </w:rPr>
              <w:fldChar w:fldCharType="separate"/>
            </w:r>
            <w:r w:rsidRPr="00FC6704">
              <w:rPr>
                <w:i w:val="0"/>
                <w:noProof/>
              </w:rPr>
              <w:t>16</w:t>
            </w:r>
            <w:r w:rsidRPr="00FC6704">
              <w:rPr>
                <w:i w:val="0"/>
                <w:noProof/>
              </w:rPr>
              <w:fldChar w:fldCharType="end"/>
            </w:r>
          </w:p>
          <w:p w:rsidR="00FC6704" w:rsidRPr="00FC6704" w:rsidRDefault="00FC6704">
            <w:pPr>
              <w:pStyle w:val="TOC1"/>
              <w:rPr>
                <w:rFonts w:asciiTheme="minorHAnsi" w:eastAsiaTheme="minorEastAsia" w:hAnsiTheme="minorHAnsi" w:cstheme="minorBidi"/>
                <w:b/>
                <w:noProof/>
                <w:sz w:val="22"/>
                <w:szCs w:val="22"/>
                <w:lang w:eastAsia="en-NZ"/>
              </w:rPr>
            </w:pPr>
            <w:r w:rsidRPr="00FC6704">
              <w:rPr>
                <w:b/>
                <w:noProof/>
              </w:rPr>
              <w:t>Impact and affordability of Support Worker wages being paid on the basis of the required levels of training of the worker</w:t>
            </w:r>
            <w:r w:rsidRPr="00FC6704">
              <w:rPr>
                <w:b/>
                <w:noProof/>
              </w:rPr>
              <w:tab/>
            </w:r>
            <w:r w:rsidRPr="00FC6704">
              <w:rPr>
                <w:b/>
                <w:noProof/>
              </w:rPr>
              <w:fldChar w:fldCharType="begin"/>
            </w:r>
            <w:r w:rsidRPr="00FC6704">
              <w:rPr>
                <w:b/>
                <w:noProof/>
              </w:rPr>
              <w:instrText xml:space="preserve"> PAGEREF _Toc426009399 \h </w:instrText>
            </w:r>
            <w:r w:rsidRPr="00FC6704">
              <w:rPr>
                <w:b/>
                <w:noProof/>
              </w:rPr>
            </w:r>
            <w:r w:rsidRPr="00FC6704">
              <w:rPr>
                <w:b/>
                <w:noProof/>
              </w:rPr>
              <w:fldChar w:fldCharType="separate"/>
            </w:r>
            <w:r w:rsidRPr="00FC6704">
              <w:rPr>
                <w:b/>
                <w:noProof/>
              </w:rPr>
              <w:t>17</w:t>
            </w:r>
            <w:r w:rsidRPr="00FC6704">
              <w:rPr>
                <w:b/>
                <w:noProof/>
              </w:rPr>
              <w:fldChar w:fldCharType="end"/>
            </w:r>
          </w:p>
          <w:p w:rsidR="00FC6704" w:rsidRPr="00FC6704" w:rsidRDefault="00FC6704">
            <w:pPr>
              <w:pStyle w:val="TOC2"/>
              <w:rPr>
                <w:rFonts w:asciiTheme="minorHAnsi" w:eastAsiaTheme="minorEastAsia" w:hAnsiTheme="minorHAnsi" w:cstheme="minorBidi"/>
                <w:i w:val="0"/>
                <w:noProof/>
                <w:sz w:val="22"/>
                <w:szCs w:val="22"/>
                <w:lang w:eastAsia="en-NZ"/>
              </w:rPr>
            </w:pPr>
            <w:r w:rsidRPr="00FC6704">
              <w:rPr>
                <w:i w:val="0"/>
                <w:noProof/>
              </w:rPr>
              <w:t>In-between Travel Settlement Agreement</w:t>
            </w:r>
            <w:r w:rsidRPr="00FC6704">
              <w:rPr>
                <w:i w:val="0"/>
                <w:noProof/>
              </w:rPr>
              <w:tab/>
            </w:r>
            <w:r w:rsidRPr="00FC6704">
              <w:rPr>
                <w:i w:val="0"/>
                <w:noProof/>
              </w:rPr>
              <w:fldChar w:fldCharType="begin"/>
            </w:r>
            <w:r w:rsidRPr="00FC6704">
              <w:rPr>
                <w:i w:val="0"/>
                <w:noProof/>
              </w:rPr>
              <w:instrText xml:space="preserve"> PAGEREF _Toc426009400 \h </w:instrText>
            </w:r>
            <w:r w:rsidRPr="00FC6704">
              <w:rPr>
                <w:i w:val="0"/>
                <w:noProof/>
              </w:rPr>
            </w:r>
            <w:r w:rsidRPr="00FC6704">
              <w:rPr>
                <w:i w:val="0"/>
                <w:noProof/>
              </w:rPr>
              <w:fldChar w:fldCharType="separate"/>
            </w:r>
            <w:r w:rsidRPr="00FC6704">
              <w:rPr>
                <w:i w:val="0"/>
                <w:noProof/>
              </w:rPr>
              <w:t>17</w:t>
            </w:r>
            <w:r w:rsidRPr="00FC6704">
              <w:rPr>
                <w:i w:val="0"/>
                <w:noProof/>
              </w:rPr>
              <w:fldChar w:fldCharType="end"/>
            </w:r>
          </w:p>
          <w:p w:rsidR="00FC6704" w:rsidRPr="00FC6704" w:rsidRDefault="00FC6704">
            <w:pPr>
              <w:pStyle w:val="TOC2"/>
              <w:rPr>
                <w:rFonts w:asciiTheme="minorHAnsi" w:eastAsiaTheme="minorEastAsia" w:hAnsiTheme="minorHAnsi" w:cstheme="minorBidi"/>
                <w:i w:val="0"/>
                <w:noProof/>
                <w:sz w:val="22"/>
                <w:szCs w:val="22"/>
                <w:lang w:eastAsia="en-NZ"/>
              </w:rPr>
            </w:pPr>
            <w:r w:rsidRPr="00FC6704">
              <w:rPr>
                <w:i w:val="0"/>
                <w:noProof/>
              </w:rPr>
              <w:t>Current state</w:t>
            </w:r>
            <w:r w:rsidRPr="00FC6704">
              <w:rPr>
                <w:i w:val="0"/>
                <w:noProof/>
              </w:rPr>
              <w:tab/>
            </w:r>
            <w:r w:rsidRPr="00FC6704">
              <w:rPr>
                <w:i w:val="0"/>
                <w:noProof/>
              </w:rPr>
              <w:fldChar w:fldCharType="begin"/>
            </w:r>
            <w:r w:rsidRPr="00FC6704">
              <w:rPr>
                <w:i w:val="0"/>
                <w:noProof/>
              </w:rPr>
              <w:instrText xml:space="preserve"> PAGEREF _Toc426009401 \h </w:instrText>
            </w:r>
            <w:r w:rsidRPr="00FC6704">
              <w:rPr>
                <w:i w:val="0"/>
                <w:noProof/>
              </w:rPr>
            </w:r>
            <w:r w:rsidRPr="00FC6704">
              <w:rPr>
                <w:i w:val="0"/>
                <w:noProof/>
              </w:rPr>
              <w:fldChar w:fldCharType="separate"/>
            </w:r>
            <w:r w:rsidRPr="00FC6704">
              <w:rPr>
                <w:i w:val="0"/>
                <w:noProof/>
              </w:rPr>
              <w:t>17</w:t>
            </w:r>
            <w:r w:rsidRPr="00FC6704">
              <w:rPr>
                <w:i w:val="0"/>
                <w:noProof/>
              </w:rPr>
              <w:fldChar w:fldCharType="end"/>
            </w:r>
          </w:p>
          <w:p w:rsidR="00FC6704" w:rsidRPr="00FC6704" w:rsidRDefault="00FC6704">
            <w:pPr>
              <w:pStyle w:val="TOC2"/>
              <w:rPr>
                <w:rFonts w:asciiTheme="minorHAnsi" w:eastAsiaTheme="minorEastAsia" w:hAnsiTheme="minorHAnsi" w:cstheme="minorBidi"/>
                <w:i w:val="0"/>
                <w:noProof/>
                <w:sz w:val="22"/>
                <w:szCs w:val="22"/>
                <w:lang w:eastAsia="en-NZ"/>
              </w:rPr>
            </w:pPr>
            <w:r w:rsidRPr="00FC6704">
              <w:rPr>
                <w:i w:val="0"/>
                <w:noProof/>
              </w:rPr>
              <w:t>Qualification framework</w:t>
            </w:r>
            <w:r w:rsidRPr="00FC6704">
              <w:rPr>
                <w:i w:val="0"/>
                <w:noProof/>
              </w:rPr>
              <w:tab/>
            </w:r>
            <w:r w:rsidRPr="00FC6704">
              <w:rPr>
                <w:i w:val="0"/>
                <w:noProof/>
              </w:rPr>
              <w:fldChar w:fldCharType="begin"/>
            </w:r>
            <w:r w:rsidRPr="00FC6704">
              <w:rPr>
                <w:i w:val="0"/>
                <w:noProof/>
              </w:rPr>
              <w:instrText xml:space="preserve"> PAGEREF _Toc426009402 \h </w:instrText>
            </w:r>
            <w:r w:rsidRPr="00FC6704">
              <w:rPr>
                <w:i w:val="0"/>
                <w:noProof/>
              </w:rPr>
            </w:r>
            <w:r w:rsidRPr="00FC6704">
              <w:rPr>
                <w:i w:val="0"/>
                <w:noProof/>
              </w:rPr>
              <w:fldChar w:fldCharType="separate"/>
            </w:r>
            <w:r w:rsidRPr="00FC6704">
              <w:rPr>
                <w:i w:val="0"/>
                <w:noProof/>
              </w:rPr>
              <w:t>18</w:t>
            </w:r>
            <w:r w:rsidRPr="00FC6704">
              <w:rPr>
                <w:i w:val="0"/>
                <w:noProof/>
              </w:rPr>
              <w:fldChar w:fldCharType="end"/>
            </w:r>
          </w:p>
          <w:p w:rsidR="00FC6704" w:rsidRPr="00FC6704" w:rsidRDefault="00FC6704">
            <w:pPr>
              <w:pStyle w:val="TOC2"/>
              <w:rPr>
                <w:rFonts w:asciiTheme="minorHAnsi" w:eastAsiaTheme="minorEastAsia" w:hAnsiTheme="minorHAnsi" w:cstheme="minorBidi"/>
                <w:i w:val="0"/>
                <w:noProof/>
                <w:sz w:val="22"/>
                <w:szCs w:val="22"/>
                <w:lang w:eastAsia="en-NZ"/>
              </w:rPr>
            </w:pPr>
            <w:r w:rsidRPr="00FC6704">
              <w:rPr>
                <w:i w:val="0"/>
                <w:noProof/>
              </w:rPr>
              <w:t>Potential remuneration framework</w:t>
            </w:r>
            <w:r w:rsidRPr="00FC6704">
              <w:rPr>
                <w:i w:val="0"/>
                <w:noProof/>
              </w:rPr>
              <w:tab/>
            </w:r>
            <w:r w:rsidRPr="00FC6704">
              <w:rPr>
                <w:i w:val="0"/>
                <w:noProof/>
              </w:rPr>
              <w:fldChar w:fldCharType="begin"/>
            </w:r>
            <w:r w:rsidRPr="00FC6704">
              <w:rPr>
                <w:i w:val="0"/>
                <w:noProof/>
              </w:rPr>
              <w:instrText xml:space="preserve"> PAGEREF _Toc426009403 \h </w:instrText>
            </w:r>
            <w:r w:rsidRPr="00FC6704">
              <w:rPr>
                <w:i w:val="0"/>
                <w:noProof/>
              </w:rPr>
            </w:r>
            <w:r w:rsidRPr="00FC6704">
              <w:rPr>
                <w:i w:val="0"/>
                <w:noProof/>
              </w:rPr>
              <w:fldChar w:fldCharType="separate"/>
            </w:r>
            <w:r w:rsidRPr="00FC6704">
              <w:rPr>
                <w:i w:val="0"/>
                <w:noProof/>
              </w:rPr>
              <w:t>19</w:t>
            </w:r>
            <w:r w:rsidRPr="00FC6704">
              <w:rPr>
                <w:i w:val="0"/>
                <w:noProof/>
              </w:rPr>
              <w:fldChar w:fldCharType="end"/>
            </w:r>
          </w:p>
          <w:p w:rsidR="00FC6704" w:rsidRDefault="00FC6704">
            <w:pPr>
              <w:pStyle w:val="TOC2"/>
              <w:rPr>
                <w:rFonts w:asciiTheme="minorHAnsi" w:eastAsiaTheme="minorEastAsia" w:hAnsiTheme="minorHAnsi" w:cstheme="minorBidi"/>
                <w:i w:val="0"/>
                <w:noProof/>
                <w:sz w:val="22"/>
                <w:szCs w:val="22"/>
                <w:lang w:eastAsia="en-NZ"/>
              </w:rPr>
            </w:pPr>
            <w:r w:rsidRPr="00FC6704">
              <w:rPr>
                <w:i w:val="0"/>
                <w:noProof/>
              </w:rPr>
              <w:t>Comparative health sector wage rates</w:t>
            </w:r>
            <w:r w:rsidRPr="00FC6704">
              <w:rPr>
                <w:i w:val="0"/>
                <w:noProof/>
              </w:rPr>
              <w:tab/>
            </w:r>
            <w:r w:rsidRPr="00FC6704">
              <w:rPr>
                <w:i w:val="0"/>
                <w:noProof/>
              </w:rPr>
              <w:fldChar w:fldCharType="begin"/>
            </w:r>
            <w:r w:rsidRPr="00FC6704">
              <w:rPr>
                <w:i w:val="0"/>
                <w:noProof/>
              </w:rPr>
              <w:instrText xml:space="preserve"> PAGEREF _Toc426009404 \h </w:instrText>
            </w:r>
            <w:r w:rsidRPr="00FC6704">
              <w:rPr>
                <w:i w:val="0"/>
                <w:noProof/>
              </w:rPr>
            </w:r>
            <w:r w:rsidRPr="00FC6704">
              <w:rPr>
                <w:i w:val="0"/>
                <w:noProof/>
              </w:rPr>
              <w:fldChar w:fldCharType="separate"/>
            </w:r>
            <w:r w:rsidRPr="00FC6704">
              <w:rPr>
                <w:i w:val="0"/>
                <w:noProof/>
              </w:rPr>
              <w:t>20</w:t>
            </w:r>
            <w:r w:rsidRPr="00FC6704">
              <w:rPr>
                <w:i w:val="0"/>
                <w:noProof/>
              </w:rPr>
              <w:fldChar w:fldCharType="end"/>
            </w:r>
          </w:p>
          <w:p w:rsidR="00FC6704" w:rsidRDefault="00FC6704">
            <w:pPr>
              <w:pStyle w:val="TOC1"/>
              <w:rPr>
                <w:noProof/>
              </w:rPr>
            </w:pPr>
          </w:p>
          <w:p w:rsidR="00FC6704" w:rsidRPr="00FC6704" w:rsidRDefault="00FC6704">
            <w:pPr>
              <w:pStyle w:val="TOC1"/>
              <w:rPr>
                <w:rFonts w:asciiTheme="minorHAnsi" w:eastAsiaTheme="minorEastAsia" w:hAnsiTheme="minorHAnsi" w:cstheme="minorBidi"/>
                <w:b/>
                <w:noProof/>
                <w:sz w:val="22"/>
                <w:szCs w:val="22"/>
                <w:lang w:eastAsia="en-NZ"/>
              </w:rPr>
            </w:pPr>
            <w:r w:rsidRPr="00FC6704">
              <w:rPr>
                <w:b/>
                <w:noProof/>
              </w:rPr>
              <w:t>Impact and affordability of providing paid training time to enable Support Workers to obtain Level 3 New Zealand Certificate qualifications</w:t>
            </w:r>
            <w:r w:rsidRPr="00FC6704">
              <w:rPr>
                <w:b/>
                <w:noProof/>
              </w:rPr>
              <w:tab/>
            </w:r>
            <w:r w:rsidRPr="00FC6704">
              <w:rPr>
                <w:b/>
                <w:noProof/>
              </w:rPr>
              <w:fldChar w:fldCharType="begin"/>
            </w:r>
            <w:r w:rsidRPr="00FC6704">
              <w:rPr>
                <w:b/>
                <w:noProof/>
              </w:rPr>
              <w:instrText xml:space="preserve"> PAGEREF _Toc426009405 \h </w:instrText>
            </w:r>
            <w:r w:rsidRPr="00FC6704">
              <w:rPr>
                <w:b/>
                <w:noProof/>
              </w:rPr>
            </w:r>
            <w:r w:rsidRPr="00FC6704">
              <w:rPr>
                <w:b/>
                <w:noProof/>
              </w:rPr>
              <w:fldChar w:fldCharType="separate"/>
            </w:r>
            <w:r w:rsidRPr="00FC6704">
              <w:rPr>
                <w:b/>
                <w:noProof/>
              </w:rPr>
              <w:t>21</w:t>
            </w:r>
            <w:r w:rsidRPr="00FC6704">
              <w:rPr>
                <w:b/>
                <w:noProof/>
              </w:rPr>
              <w:fldChar w:fldCharType="end"/>
            </w:r>
          </w:p>
          <w:p w:rsidR="00FC6704" w:rsidRPr="00FC6704" w:rsidRDefault="00FC6704">
            <w:pPr>
              <w:pStyle w:val="TOC2"/>
              <w:rPr>
                <w:rFonts w:asciiTheme="minorHAnsi" w:eastAsiaTheme="minorEastAsia" w:hAnsiTheme="minorHAnsi" w:cstheme="minorBidi"/>
                <w:i w:val="0"/>
                <w:noProof/>
                <w:sz w:val="22"/>
                <w:szCs w:val="22"/>
                <w:lang w:eastAsia="en-NZ"/>
              </w:rPr>
            </w:pPr>
            <w:r w:rsidRPr="00FC6704">
              <w:rPr>
                <w:i w:val="0"/>
                <w:noProof/>
              </w:rPr>
              <w:t>Background</w:t>
            </w:r>
            <w:r w:rsidRPr="00FC6704">
              <w:rPr>
                <w:i w:val="0"/>
                <w:noProof/>
              </w:rPr>
              <w:tab/>
            </w:r>
            <w:r w:rsidRPr="00FC6704">
              <w:rPr>
                <w:i w:val="0"/>
                <w:noProof/>
              </w:rPr>
              <w:fldChar w:fldCharType="begin"/>
            </w:r>
            <w:r w:rsidRPr="00FC6704">
              <w:rPr>
                <w:i w:val="0"/>
                <w:noProof/>
              </w:rPr>
              <w:instrText xml:space="preserve"> PAGEREF _Toc426009406 \h </w:instrText>
            </w:r>
            <w:r w:rsidRPr="00FC6704">
              <w:rPr>
                <w:i w:val="0"/>
                <w:noProof/>
              </w:rPr>
            </w:r>
            <w:r w:rsidRPr="00FC6704">
              <w:rPr>
                <w:i w:val="0"/>
                <w:noProof/>
              </w:rPr>
              <w:fldChar w:fldCharType="separate"/>
            </w:r>
            <w:r w:rsidRPr="00FC6704">
              <w:rPr>
                <w:i w:val="0"/>
                <w:noProof/>
              </w:rPr>
              <w:t>21</w:t>
            </w:r>
            <w:r w:rsidRPr="00FC6704">
              <w:rPr>
                <w:i w:val="0"/>
                <w:noProof/>
              </w:rPr>
              <w:fldChar w:fldCharType="end"/>
            </w:r>
          </w:p>
          <w:p w:rsidR="00FC6704" w:rsidRPr="00FC6704" w:rsidRDefault="00FC6704">
            <w:pPr>
              <w:pStyle w:val="TOC2"/>
              <w:rPr>
                <w:rFonts w:asciiTheme="minorHAnsi" w:eastAsiaTheme="minorEastAsia" w:hAnsiTheme="minorHAnsi" w:cstheme="minorBidi"/>
                <w:i w:val="0"/>
                <w:noProof/>
                <w:sz w:val="22"/>
                <w:szCs w:val="22"/>
                <w:lang w:eastAsia="en-NZ"/>
              </w:rPr>
            </w:pPr>
            <w:r w:rsidRPr="00FC6704">
              <w:rPr>
                <w:i w:val="0"/>
                <w:noProof/>
              </w:rPr>
              <w:t>In-between Travel Settlement Agreement</w:t>
            </w:r>
            <w:r w:rsidRPr="00FC6704">
              <w:rPr>
                <w:i w:val="0"/>
                <w:noProof/>
              </w:rPr>
              <w:tab/>
            </w:r>
            <w:r w:rsidRPr="00FC6704">
              <w:rPr>
                <w:i w:val="0"/>
                <w:noProof/>
              </w:rPr>
              <w:fldChar w:fldCharType="begin"/>
            </w:r>
            <w:r w:rsidRPr="00FC6704">
              <w:rPr>
                <w:i w:val="0"/>
                <w:noProof/>
              </w:rPr>
              <w:instrText xml:space="preserve"> PAGEREF _Toc426009407 \h </w:instrText>
            </w:r>
            <w:r w:rsidRPr="00FC6704">
              <w:rPr>
                <w:i w:val="0"/>
                <w:noProof/>
              </w:rPr>
            </w:r>
            <w:r w:rsidRPr="00FC6704">
              <w:rPr>
                <w:i w:val="0"/>
                <w:noProof/>
              </w:rPr>
              <w:fldChar w:fldCharType="separate"/>
            </w:r>
            <w:r w:rsidRPr="00FC6704">
              <w:rPr>
                <w:i w:val="0"/>
                <w:noProof/>
              </w:rPr>
              <w:t>23</w:t>
            </w:r>
            <w:r w:rsidRPr="00FC6704">
              <w:rPr>
                <w:i w:val="0"/>
                <w:noProof/>
              </w:rPr>
              <w:fldChar w:fldCharType="end"/>
            </w:r>
          </w:p>
          <w:p w:rsidR="00FC6704" w:rsidRPr="00FC6704" w:rsidRDefault="00FC6704">
            <w:pPr>
              <w:pStyle w:val="TOC2"/>
              <w:rPr>
                <w:rFonts w:asciiTheme="minorHAnsi" w:eastAsiaTheme="minorEastAsia" w:hAnsiTheme="minorHAnsi" w:cstheme="minorBidi"/>
                <w:i w:val="0"/>
                <w:noProof/>
                <w:sz w:val="22"/>
                <w:szCs w:val="22"/>
                <w:lang w:eastAsia="en-NZ"/>
              </w:rPr>
            </w:pPr>
            <w:r w:rsidRPr="00FC6704">
              <w:rPr>
                <w:i w:val="0"/>
                <w:noProof/>
              </w:rPr>
              <w:t>Impact and affordability</w:t>
            </w:r>
            <w:r w:rsidRPr="00FC6704">
              <w:rPr>
                <w:i w:val="0"/>
                <w:noProof/>
              </w:rPr>
              <w:tab/>
            </w:r>
            <w:r w:rsidRPr="00FC6704">
              <w:rPr>
                <w:i w:val="0"/>
                <w:noProof/>
              </w:rPr>
              <w:fldChar w:fldCharType="begin"/>
            </w:r>
            <w:r w:rsidRPr="00FC6704">
              <w:rPr>
                <w:i w:val="0"/>
                <w:noProof/>
              </w:rPr>
              <w:instrText xml:space="preserve"> PAGEREF _Toc426009408 \h </w:instrText>
            </w:r>
            <w:r w:rsidRPr="00FC6704">
              <w:rPr>
                <w:i w:val="0"/>
                <w:noProof/>
              </w:rPr>
            </w:r>
            <w:r w:rsidRPr="00FC6704">
              <w:rPr>
                <w:i w:val="0"/>
                <w:noProof/>
              </w:rPr>
              <w:fldChar w:fldCharType="separate"/>
            </w:r>
            <w:r w:rsidRPr="00FC6704">
              <w:rPr>
                <w:i w:val="0"/>
                <w:noProof/>
              </w:rPr>
              <w:t>23</w:t>
            </w:r>
            <w:r w:rsidRPr="00FC6704">
              <w:rPr>
                <w:i w:val="0"/>
                <w:noProof/>
              </w:rPr>
              <w:fldChar w:fldCharType="end"/>
            </w:r>
          </w:p>
          <w:p w:rsidR="00FC6704" w:rsidRPr="00FC6704" w:rsidRDefault="00FC6704">
            <w:pPr>
              <w:pStyle w:val="TOC1"/>
              <w:rPr>
                <w:rFonts w:asciiTheme="minorHAnsi" w:eastAsiaTheme="minorEastAsia" w:hAnsiTheme="minorHAnsi" w:cstheme="minorBidi"/>
                <w:b/>
                <w:noProof/>
                <w:sz w:val="22"/>
                <w:szCs w:val="22"/>
                <w:lang w:eastAsia="en-NZ"/>
              </w:rPr>
            </w:pPr>
            <w:r w:rsidRPr="00FC6704">
              <w:rPr>
                <w:b/>
                <w:noProof/>
              </w:rPr>
              <w:t>Impact and affordability of the majority of workers being employed on guaranteed hours</w:t>
            </w:r>
            <w:r w:rsidRPr="00FC6704">
              <w:rPr>
                <w:b/>
                <w:noProof/>
              </w:rPr>
              <w:tab/>
            </w:r>
            <w:r w:rsidRPr="00FC6704">
              <w:rPr>
                <w:b/>
                <w:noProof/>
              </w:rPr>
              <w:fldChar w:fldCharType="begin"/>
            </w:r>
            <w:r w:rsidRPr="00FC6704">
              <w:rPr>
                <w:b/>
                <w:noProof/>
              </w:rPr>
              <w:instrText xml:space="preserve"> PAGEREF _Toc426009409 \h </w:instrText>
            </w:r>
            <w:r w:rsidRPr="00FC6704">
              <w:rPr>
                <w:b/>
                <w:noProof/>
              </w:rPr>
            </w:r>
            <w:r w:rsidRPr="00FC6704">
              <w:rPr>
                <w:b/>
                <w:noProof/>
              </w:rPr>
              <w:fldChar w:fldCharType="separate"/>
            </w:r>
            <w:r w:rsidRPr="00FC6704">
              <w:rPr>
                <w:b/>
                <w:noProof/>
              </w:rPr>
              <w:t>24</w:t>
            </w:r>
            <w:r w:rsidRPr="00FC6704">
              <w:rPr>
                <w:b/>
                <w:noProof/>
              </w:rPr>
              <w:fldChar w:fldCharType="end"/>
            </w:r>
          </w:p>
          <w:p w:rsidR="00FC6704" w:rsidRPr="00FC6704" w:rsidRDefault="00FC6704">
            <w:pPr>
              <w:pStyle w:val="TOC2"/>
              <w:rPr>
                <w:rFonts w:asciiTheme="minorHAnsi" w:eastAsiaTheme="minorEastAsia" w:hAnsiTheme="minorHAnsi" w:cstheme="minorBidi"/>
                <w:i w:val="0"/>
                <w:noProof/>
                <w:sz w:val="22"/>
                <w:szCs w:val="22"/>
                <w:lang w:eastAsia="en-NZ"/>
              </w:rPr>
            </w:pPr>
            <w:r w:rsidRPr="00FC6704">
              <w:rPr>
                <w:i w:val="0"/>
                <w:noProof/>
              </w:rPr>
              <w:t>In-between Travel Settlement Agreement</w:t>
            </w:r>
            <w:r w:rsidRPr="00FC6704">
              <w:rPr>
                <w:i w:val="0"/>
                <w:noProof/>
              </w:rPr>
              <w:tab/>
            </w:r>
            <w:r w:rsidRPr="00FC6704">
              <w:rPr>
                <w:i w:val="0"/>
                <w:noProof/>
              </w:rPr>
              <w:fldChar w:fldCharType="begin"/>
            </w:r>
            <w:r w:rsidRPr="00FC6704">
              <w:rPr>
                <w:i w:val="0"/>
                <w:noProof/>
              </w:rPr>
              <w:instrText xml:space="preserve"> PAGEREF _Toc426009410 \h </w:instrText>
            </w:r>
            <w:r w:rsidRPr="00FC6704">
              <w:rPr>
                <w:i w:val="0"/>
                <w:noProof/>
              </w:rPr>
            </w:r>
            <w:r w:rsidRPr="00FC6704">
              <w:rPr>
                <w:i w:val="0"/>
                <w:noProof/>
              </w:rPr>
              <w:fldChar w:fldCharType="separate"/>
            </w:r>
            <w:r w:rsidRPr="00FC6704">
              <w:rPr>
                <w:i w:val="0"/>
                <w:noProof/>
              </w:rPr>
              <w:t>24</w:t>
            </w:r>
            <w:r w:rsidRPr="00FC6704">
              <w:rPr>
                <w:i w:val="0"/>
                <w:noProof/>
              </w:rPr>
              <w:fldChar w:fldCharType="end"/>
            </w:r>
          </w:p>
          <w:p w:rsidR="00FC6704" w:rsidRPr="00FC6704" w:rsidRDefault="00FC6704">
            <w:pPr>
              <w:pStyle w:val="TOC2"/>
              <w:rPr>
                <w:rFonts w:asciiTheme="minorHAnsi" w:eastAsiaTheme="minorEastAsia" w:hAnsiTheme="minorHAnsi" w:cstheme="minorBidi"/>
                <w:i w:val="0"/>
                <w:noProof/>
                <w:sz w:val="22"/>
                <w:szCs w:val="22"/>
                <w:lang w:eastAsia="en-NZ"/>
              </w:rPr>
            </w:pPr>
            <w:r w:rsidRPr="00FC6704">
              <w:rPr>
                <w:i w:val="0"/>
                <w:noProof/>
              </w:rPr>
              <w:t>Current state</w:t>
            </w:r>
            <w:r w:rsidRPr="00FC6704">
              <w:rPr>
                <w:i w:val="0"/>
                <w:noProof/>
              </w:rPr>
              <w:tab/>
            </w:r>
            <w:r w:rsidRPr="00FC6704">
              <w:rPr>
                <w:i w:val="0"/>
                <w:noProof/>
              </w:rPr>
              <w:fldChar w:fldCharType="begin"/>
            </w:r>
            <w:r w:rsidRPr="00FC6704">
              <w:rPr>
                <w:i w:val="0"/>
                <w:noProof/>
              </w:rPr>
              <w:instrText xml:space="preserve"> PAGEREF _Toc426009411 \h </w:instrText>
            </w:r>
            <w:r w:rsidRPr="00FC6704">
              <w:rPr>
                <w:i w:val="0"/>
                <w:noProof/>
              </w:rPr>
            </w:r>
            <w:r w:rsidRPr="00FC6704">
              <w:rPr>
                <w:i w:val="0"/>
                <w:noProof/>
              </w:rPr>
              <w:fldChar w:fldCharType="separate"/>
            </w:r>
            <w:r w:rsidRPr="00FC6704">
              <w:rPr>
                <w:i w:val="0"/>
                <w:noProof/>
              </w:rPr>
              <w:t>24</w:t>
            </w:r>
            <w:r w:rsidRPr="00FC6704">
              <w:rPr>
                <w:i w:val="0"/>
                <w:noProof/>
              </w:rPr>
              <w:fldChar w:fldCharType="end"/>
            </w:r>
          </w:p>
          <w:p w:rsidR="00FC6704" w:rsidRPr="00FC6704" w:rsidRDefault="00FC6704">
            <w:pPr>
              <w:pStyle w:val="TOC2"/>
              <w:rPr>
                <w:rFonts w:asciiTheme="minorHAnsi" w:eastAsiaTheme="minorEastAsia" w:hAnsiTheme="minorHAnsi" w:cstheme="minorBidi"/>
                <w:i w:val="0"/>
                <w:noProof/>
                <w:sz w:val="22"/>
                <w:szCs w:val="22"/>
                <w:lang w:eastAsia="en-NZ"/>
              </w:rPr>
            </w:pPr>
            <w:r w:rsidRPr="00FC6704">
              <w:rPr>
                <w:i w:val="0"/>
                <w:noProof/>
              </w:rPr>
              <w:t>Union perspective</w:t>
            </w:r>
            <w:r w:rsidRPr="00FC6704">
              <w:rPr>
                <w:i w:val="0"/>
                <w:noProof/>
              </w:rPr>
              <w:tab/>
            </w:r>
            <w:r w:rsidRPr="00FC6704">
              <w:rPr>
                <w:i w:val="0"/>
                <w:noProof/>
              </w:rPr>
              <w:fldChar w:fldCharType="begin"/>
            </w:r>
            <w:r w:rsidRPr="00FC6704">
              <w:rPr>
                <w:i w:val="0"/>
                <w:noProof/>
              </w:rPr>
              <w:instrText xml:space="preserve"> PAGEREF _Toc426009412 \h </w:instrText>
            </w:r>
            <w:r w:rsidRPr="00FC6704">
              <w:rPr>
                <w:i w:val="0"/>
                <w:noProof/>
              </w:rPr>
            </w:r>
            <w:r w:rsidRPr="00FC6704">
              <w:rPr>
                <w:i w:val="0"/>
                <w:noProof/>
              </w:rPr>
              <w:fldChar w:fldCharType="separate"/>
            </w:r>
            <w:r w:rsidRPr="00FC6704">
              <w:rPr>
                <w:i w:val="0"/>
                <w:noProof/>
              </w:rPr>
              <w:t>26</w:t>
            </w:r>
            <w:r w:rsidRPr="00FC6704">
              <w:rPr>
                <w:i w:val="0"/>
                <w:noProof/>
              </w:rPr>
              <w:fldChar w:fldCharType="end"/>
            </w:r>
          </w:p>
          <w:p w:rsidR="00FC6704" w:rsidRPr="00FC6704" w:rsidRDefault="00FC6704">
            <w:pPr>
              <w:pStyle w:val="TOC2"/>
              <w:rPr>
                <w:rFonts w:asciiTheme="minorHAnsi" w:eastAsiaTheme="minorEastAsia" w:hAnsiTheme="minorHAnsi" w:cstheme="minorBidi"/>
                <w:i w:val="0"/>
                <w:noProof/>
                <w:sz w:val="22"/>
                <w:szCs w:val="22"/>
                <w:lang w:eastAsia="en-NZ"/>
              </w:rPr>
            </w:pPr>
            <w:r w:rsidRPr="00FC6704">
              <w:rPr>
                <w:i w:val="0"/>
                <w:noProof/>
              </w:rPr>
              <w:t>Provider perspective</w:t>
            </w:r>
            <w:r w:rsidRPr="00FC6704">
              <w:rPr>
                <w:i w:val="0"/>
                <w:noProof/>
              </w:rPr>
              <w:tab/>
            </w:r>
            <w:r w:rsidRPr="00FC6704">
              <w:rPr>
                <w:i w:val="0"/>
                <w:noProof/>
              </w:rPr>
              <w:fldChar w:fldCharType="begin"/>
            </w:r>
            <w:r w:rsidRPr="00FC6704">
              <w:rPr>
                <w:i w:val="0"/>
                <w:noProof/>
              </w:rPr>
              <w:instrText xml:space="preserve"> PAGEREF _Toc426009413 \h </w:instrText>
            </w:r>
            <w:r w:rsidRPr="00FC6704">
              <w:rPr>
                <w:i w:val="0"/>
                <w:noProof/>
              </w:rPr>
            </w:r>
            <w:r w:rsidRPr="00FC6704">
              <w:rPr>
                <w:i w:val="0"/>
                <w:noProof/>
              </w:rPr>
              <w:fldChar w:fldCharType="separate"/>
            </w:r>
            <w:r w:rsidRPr="00FC6704">
              <w:rPr>
                <w:i w:val="0"/>
                <w:noProof/>
              </w:rPr>
              <w:t>27</w:t>
            </w:r>
            <w:r w:rsidRPr="00FC6704">
              <w:rPr>
                <w:i w:val="0"/>
                <w:noProof/>
              </w:rPr>
              <w:fldChar w:fldCharType="end"/>
            </w:r>
          </w:p>
          <w:p w:rsidR="00FC6704" w:rsidRPr="00FC6704" w:rsidRDefault="00FC6704">
            <w:pPr>
              <w:pStyle w:val="TOC2"/>
              <w:rPr>
                <w:rFonts w:asciiTheme="minorHAnsi" w:eastAsiaTheme="minorEastAsia" w:hAnsiTheme="minorHAnsi" w:cstheme="minorBidi"/>
                <w:i w:val="0"/>
                <w:noProof/>
                <w:sz w:val="22"/>
                <w:szCs w:val="22"/>
                <w:lang w:eastAsia="en-NZ"/>
              </w:rPr>
            </w:pPr>
            <w:r w:rsidRPr="00FC6704">
              <w:rPr>
                <w:i w:val="0"/>
                <w:noProof/>
              </w:rPr>
              <w:t>Agreed approach to measurement</w:t>
            </w:r>
            <w:r w:rsidRPr="00FC6704">
              <w:rPr>
                <w:i w:val="0"/>
                <w:noProof/>
              </w:rPr>
              <w:tab/>
            </w:r>
            <w:r w:rsidRPr="00FC6704">
              <w:rPr>
                <w:i w:val="0"/>
                <w:noProof/>
              </w:rPr>
              <w:fldChar w:fldCharType="begin"/>
            </w:r>
            <w:r w:rsidRPr="00FC6704">
              <w:rPr>
                <w:i w:val="0"/>
                <w:noProof/>
              </w:rPr>
              <w:instrText xml:space="preserve"> PAGEREF _Toc426009414 \h </w:instrText>
            </w:r>
            <w:r w:rsidRPr="00FC6704">
              <w:rPr>
                <w:i w:val="0"/>
                <w:noProof/>
              </w:rPr>
            </w:r>
            <w:r w:rsidRPr="00FC6704">
              <w:rPr>
                <w:i w:val="0"/>
                <w:noProof/>
              </w:rPr>
              <w:fldChar w:fldCharType="separate"/>
            </w:r>
            <w:r w:rsidRPr="00FC6704">
              <w:rPr>
                <w:i w:val="0"/>
                <w:noProof/>
              </w:rPr>
              <w:t>27</w:t>
            </w:r>
            <w:r w:rsidRPr="00FC6704">
              <w:rPr>
                <w:i w:val="0"/>
                <w:noProof/>
              </w:rPr>
              <w:fldChar w:fldCharType="end"/>
            </w:r>
          </w:p>
          <w:p w:rsidR="00FC6704" w:rsidRPr="00FC6704" w:rsidRDefault="00FC6704">
            <w:pPr>
              <w:pStyle w:val="TOC2"/>
              <w:rPr>
                <w:rFonts w:asciiTheme="minorHAnsi" w:eastAsiaTheme="minorEastAsia" w:hAnsiTheme="minorHAnsi" w:cstheme="minorBidi"/>
                <w:i w:val="0"/>
                <w:noProof/>
                <w:sz w:val="22"/>
                <w:szCs w:val="22"/>
                <w:lang w:eastAsia="en-NZ"/>
              </w:rPr>
            </w:pPr>
            <w:r w:rsidRPr="00FC6704">
              <w:rPr>
                <w:i w:val="0"/>
                <w:noProof/>
              </w:rPr>
              <w:t>Implications of the introduction of guaranteed hours</w:t>
            </w:r>
            <w:r w:rsidRPr="00FC6704">
              <w:rPr>
                <w:i w:val="0"/>
                <w:noProof/>
              </w:rPr>
              <w:tab/>
            </w:r>
            <w:r w:rsidRPr="00FC6704">
              <w:rPr>
                <w:i w:val="0"/>
                <w:noProof/>
              </w:rPr>
              <w:fldChar w:fldCharType="begin"/>
            </w:r>
            <w:r w:rsidRPr="00FC6704">
              <w:rPr>
                <w:i w:val="0"/>
                <w:noProof/>
              </w:rPr>
              <w:instrText xml:space="preserve"> PAGEREF _Toc426009415 \h </w:instrText>
            </w:r>
            <w:r w:rsidRPr="00FC6704">
              <w:rPr>
                <w:i w:val="0"/>
                <w:noProof/>
              </w:rPr>
            </w:r>
            <w:r w:rsidRPr="00FC6704">
              <w:rPr>
                <w:i w:val="0"/>
                <w:noProof/>
              </w:rPr>
              <w:fldChar w:fldCharType="separate"/>
            </w:r>
            <w:r w:rsidRPr="00FC6704">
              <w:rPr>
                <w:i w:val="0"/>
                <w:noProof/>
              </w:rPr>
              <w:t>28</w:t>
            </w:r>
            <w:r w:rsidRPr="00FC6704">
              <w:rPr>
                <w:i w:val="0"/>
                <w:noProof/>
              </w:rPr>
              <w:fldChar w:fldCharType="end"/>
            </w:r>
          </w:p>
          <w:p w:rsidR="00FC6704" w:rsidRPr="00FC6704" w:rsidRDefault="00FC6704">
            <w:pPr>
              <w:pStyle w:val="TOC1"/>
              <w:rPr>
                <w:rFonts w:asciiTheme="minorHAnsi" w:eastAsiaTheme="minorEastAsia" w:hAnsiTheme="minorHAnsi" w:cstheme="minorBidi"/>
                <w:b/>
                <w:noProof/>
                <w:sz w:val="22"/>
                <w:szCs w:val="22"/>
                <w:lang w:eastAsia="en-NZ"/>
              </w:rPr>
            </w:pPr>
            <w:r w:rsidRPr="00FC6704">
              <w:rPr>
                <w:b/>
                <w:noProof/>
              </w:rPr>
              <w:t>A case-load and case-mix workload mechanism to ensure a fair and safe allocation of clients to Support Workers</w:t>
            </w:r>
            <w:r w:rsidRPr="00FC6704">
              <w:rPr>
                <w:b/>
                <w:noProof/>
              </w:rPr>
              <w:tab/>
            </w:r>
            <w:r w:rsidRPr="00FC6704">
              <w:rPr>
                <w:b/>
                <w:noProof/>
              </w:rPr>
              <w:fldChar w:fldCharType="begin"/>
            </w:r>
            <w:r w:rsidRPr="00FC6704">
              <w:rPr>
                <w:b/>
                <w:noProof/>
              </w:rPr>
              <w:instrText xml:space="preserve"> PAGEREF _Toc426009416 \h </w:instrText>
            </w:r>
            <w:r w:rsidRPr="00FC6704">
              <w:rPr>
                <w:b/>
                <w:noProof/>
              </w:rPr>
            </w:r>
            <w:r w:rsidRPr="00FC6704">
              <w:rPr>
                <w:b/>
                <w:noProof/>
              </w:rPr>
              <w:fldChar w:fldCharType="separate"/>
            </w:r>
            <w:r w:rsidRPr="00FC6704">
              <w:rPr>
                <w:b/>
                <w:noProof/>
              </w:rPr>
              <w:t>29</w:t>
            </w:r>
            <w:r w:rsidRPr="00FC6704">
              <w:rPr>
                <w:b/>
                <w:noProof/>
              </w:rPr>
              <w:fldChar w:fldCharType="end"/>
            </w:r>
          </w:p>
          <w:p w:rsidR="00FC6704" w:rsidRPr="00FC6704" w:rsidRDefault="00FC6704">
            <w:pPr>
              <w:pStyle w:val="TOC2"/>
              <w:rPr>
                <w:rFonts w:asciiTheme="minorHAnsi" w:eastAsiaTheme="minorEastAsia" w:hAnsiTheme="minorHAnsi" w:cstheme="minorBidi"/>
                <w:i w:val="0"/>
                <w:noProof/>
                <w:sz w:val="22"/>
                <w:szCs w:val="22"/>
                <w:lang w:eastAsia="en-NZ"/>
              </w:rPr>
            </w:pPr>
            <w:r w:rsidRPr="00FC6704">
              <w:rPr>
                <w:i w:val="0"/>
                <w:noProof/>
              </w:rPr>
              <w:t>Goal</w:t>
            </w:r>
            <w:r w:rsidRPr="00FC6704">
              <w:rPr>
                <w:i w:val="0"/>
                <w:noProof/>
              </w:rPr>
              <w:tab/>
            </w:r>
            <w:r w:rsidRPr="00FC6704">
              <w:rPr>
                <w:i w:val="0"/>
                <w:noProof/>
              </w:rPr>
              <w:fldChar w:fldCharType="begin"/>
            </w:r>
            <w:r w:rsidRPr="00FC6704">
              <w:rPr>
                <w:i w:val="0"/>
                <w:noProof/>
              </w:rPr>
              <w:instrText xml:space="preserve"> PAGEREF _Toc426009417 \h </w:instrText>
            </w:r>
            <w:r w:rsidRPr="00FC6704">
              <w:rPr>
                <w:i w:val="0"/>
                <w:noProof/>
              </w:rPr>
            </w:r>
            <w:r w:rsidRPr="00FC6704">
              <w:rPr>
                <w:i w:val="0"/>
                <w:noProof/>
              </w:rPr>
              <w:fldChar w:fldCharType="separate"/>
            </w:r>
            <w:r w:rsidRPr="00FC6704">
              <w:rPr>
                <w:i w:val="0"/>
                <w:noProof/>
              </w:rPr>
              <w:t>29</w:t>
            </w:r>
            <w:r w:rsidRPr="00FC6704">
              <w:rPr>
                <w:i w:val="0"/>
                <w:noProof/>
              </w:rPr>
              <w:fldChar w:fldCharType="end"/>
            </w:r>
          </w:p>
          <w:p w:rsidR="00FC6704" w:rsidRPr="00FC6704" w:rsidRDefault="00FC6704">
            <w:pPr>
              <w:pStyle w:val="TOC2"/>
              <w:rPr>
                <w:rFonts w:asciiTheme="minorHAnsi" w:eastAsiaTheme="minorEastAsia" w:hAnsiTheme="minorHAnsi" w:cstheme="minorBidi"/>
                <w:i w:val="0"/>
                <w:noProof/>
                <w:sz w:val="22"/>
                <w:szCs w:val="22"/>
                <w:lang w:eastAsia="en-NZ"/>
              </w:rPr>
            </w:pPr>
            <w:r w:rsidRPr="00FC6704">
              <w:rPr>
                <w:i w:val="0"/>
                <w:noProof/>
              </w:rPr>
              <w:t>Principles guiding workload allocation</w:t>
            </w:r>
            <w:r w:rsidRPr="00FC6704">
              <w:rPr>
                <w:i w:val="0"/>
                <w:noProof/>
              </w:rPr>
              <w:tab/>
            </w:r>
            <w:r w:rsidRPr="00FC6704">
              <w:rPr>
                <w:i w:val="0"/>
                <w:noProof/>
              </w:rPr>
              <w:fldChar w:fldCharType="begin"/>
            </w:r>
            <w:r w:rsidRPr="00FC6704">
              <w:rPr>
                <w:i w:val="0"/>
                <w:noProof/>
              </w:rPr>
              <w:instrText xml:space="preserve"> PAGEREF _Toc426009418 \h </w:instrText>
            </w:r>
            <w:r w:rsidRPr="00FC6704">
              <w:rPr>
                <w:i w:val="0"/>
                <w:noProof/>
              </w:rPr>
            </w:r>
            <w:r w:rsidRPr="00FC6704">
              <w:rPr>
                <w:i w:val="0"/>
                <w:noProof/>
              </w:rPr>
              <w:fldChar w:fldCharType="separate"/>
            </w:r>
            <w:r w:rsidRPr="00FC6704">
              <w:rPr>
                <w:i w:val="0"/>
                <w:noProof/>
              </w:rPr>
              <w:t>29</w:t>
            </w:r>
            <w:r w:rsidRPr="00FC6704">
              <w:rPr>
                <w:i w:val="0"/>
                <w:noProof/>
              </w:rPr>
              <w:fldChar w:fldCharType="end"/>
            </w:r>
          </w:p>
          <w:p w:rsidR="00FC6704" w:rsidRPr="00FC6704" w:rsidRDefault="00FC6704">
            <w:pPr>
              <w:pStyle w:val="TOC2"/>
              <w:rPr>
                <w:rFonts w:asciiTheme="minorHAnsi" w:eastAsiaTheme="minorEastAsia" w:hAnsiTheme="minorHAnsi" w:cstheme="minorBidi"/>
                <w:i w:val="0"/>
                <w:noProof/>
                <w:sz w:val="22"/>
                <w:szCs w:val="22"/>
                <w:lang w:eastAsia="en-NZ"/>
              </w:rPr>
            </w:pPr>
            <w:r w:rsidRPr="00FC6704">
              <w:rPr>
                <w:i w:val="0"/>
                <w:noProof/>
              </w:rPr>
              <w:t>Proposed intended outcomes</w:t>
            </w:r>
            <w:r w:rsidRPr="00FC6704">
              <w:rPr>
                <w:i w:val="0"/>
                <w:noProof/>
              </w:rPr>
              <w:tab/>
            </w:r>
            <w:r w:rsidRPr="00FC6704">
              <w:rPr>
                <w:i w:val="0"/>
                <w:noProof/>
              </w:rPr>
              <w:fldChar w:fldCharType="begin"/>
            </w:r>
            <w:r w:rsidRPr="00FC6704">
              <w:rPr>
                <w:i w:val="0"/>
                <w:noProof/>
              </w:rPr>
              <w:instrText xml:space="preserve"> PAGEREF _Toc426009419 \h </w:instrText>
            </w:r>
            <w:r w:rsidRPr="00FC6704">
              <w:rPr>
                <w:i w:val="0"/>
                <w:noProof/>
              </w:rPr>
            </w:r>
            <w:r w:rsidRPr="00FC6704">
              <w:rPr>
                <w:i w:val="0"/>
                <w:noProof/>
              </w:rPr>
              <w:fldChar w:fldCharType="separate"/>
            </w:r>
            <w:r w:rsidRPr="00FC6704">
              <w:rPr>
                <w:i w:val="0"/>
                <w:noProof/>
              </w:rPr>
              <w:t>29</w:t>
            </w:r>
            <w:r w:rsidRPr="00FC6704">
              <w:rPr>
                <w:i w:val="0"/>
                <w:noProof/>
              </w:rPr>
              <w:fldChar w:fldCharType="end"/>
            </w:r>
          </w:p>
          <w:p w:rsidR="00FC6704" w:rsidRPr="00FC6704" w:rsidRDefault="00FC6704">
            <w:pPr>
              <w:pStyle w:val="TOC2"/>
              <w:rPr>
                <w:rFonts w:asciiTheme="minorHAnsi" w:eastAsiaTheme="minorEastAsia" w:hAnsiTheme="minorHAnsi" w:cstheme="minorBidi"/>
                <w:i w:val="0"/>
                <w:noProof/>
                <w:sz w:val="22"/>
                <w:szCs w:val="22"/>
                <w:lang w:eastAsia="en-NZ"/>
              </w:rPr>
            </w:pPr>
            <w:r w:rsidRPr="00FC6704">
              <w:rPr>
                <w:i w:val="0"/>
                <w:noProof/>
              </w:rPr>
              <w:t>Case mix</w:t>
            </w:r>
            <w:r w:rsidRPr="00FC6704">
              <w:rPr>
                <w:i w:val="0"/>
                <w:noProof/>
              </w:rPr>
              <w:tab/>
            </w:r>
            <w:r w:rsidRPr="00FC6704">
              <w:rPr>
                <w:i w:val="0"/>
                <w:noProof/>
              </w:rPr>
              <w:fldChar w:fldCharType="begin"/>
            </w:r>
            <w:r w:rsidRPr="00FC6704">
              <w:rPr>
                <w:i w:val="0"/>
                <w:noProof/>
              </w:rPr>
              <w:instrText xml:space="preserve"> PAGEREF _Toc426009420 \h </w:instrText>
            </w:r>
            <w:r w:rsidRPr="00FC6704">
              <w:rPr>
                <w:i w:val="0"/>
                <w:noProof/>
              </w:rPr>
            </w:r>
            <w:r w:rsidRPr="00FC6704">
              <w:rPr>
                <w:i w:val="0"/>
                <w:noProof/>
              </w:rPr>
              <w:fldChar w:fldCharType="separate"/>
            </w:r>
            <w:r w:rsidRPr="00FC6704">
              <w:rPr>
                <w:i w:val="0"/>
                <w:noProof/>
              </w:rPr>
              <w:t>30</w:t>
            </w:r>
            <w:r w:rsidRPr="00FC6704">
              <w:rPr>
                <w:i w:val="0"/>
                <w:noProof/>
              </w:rPr>
              <w:fldChar w:fldCharType="end"/>
            </w:r>
          </w:p>
          <w:p w:rsidR="00FC6704" w:rsidRPr="00FC6704" w:rsidRDefault="00FC6704">
            <w:pPr>
              <w:pStyle w:val="TOC1"/>
              <w:rPr>
                <w:rFonts w:asciiTheme="minorHAnsi" w:eastAsiaTheme="minorEastAsia" w:hAnsiTheme="minorHAnsi" w:cstheme="minorBidi"/>
                <w:b/>
                <w:noProof/>
                <w:sz w:val="22"/>
                <w:szCs w:val="22"/>
                <w:lang w:eastAsia="en-NZ"/>
              </w:rPr>
            </w:pPr>
            <w:r w:rsidRPr="00FC6704">
              <w:rPr>
                <w:b/>
                <w:noProof/>
              </w:rPr>
              <w:t>Structuring future service delivery</w:t>
            </w:r>
            <w:r w:rsidRPr="00FC6704">
              <w:rPr>
                <w:b/>
                <w:noProof/>
              </w:rPr>
              <w:tab/>
            </w:r>
            <w:r w:rsidRPr="00FC6704">
              <w:rPr>
                <w:b/>
                <w:noProof/>
              </w:rPr>
              <w:fldChar w:fldCharType="begin"/>
            </w:r>
            <w:r w:rsidRPr="00FC6704">
              <w:rPr>
                <w:b/>
                <w:noProof/>
              </w:rPr>
              <w:instrText xml:space="preserve"> PAGEREF _Toc426009421 \h </w:instrText>
            </w:r>
            <w:r w:rsidRPr="00FC6704">
              <w:rPr>
                <w:b/>
                <w:noProof/>
              </w:rPr>
            </w:r>
            <w:r w:rsidRPr="00FC6704">
              <w:rPr>
                <w:b/>
                <w:noProof/>
              </w:rPr>
              <w:fldChar w:fldCharType="separate"/>
            </w:r>
            <w:r w:rsidRPr="00FC6704">
              <w:rPr>
                <w:b/>
                <w:noProof/>
              </w:rPr>
              <w:t>31</w:t>
            </w:r>
            <w:r w:rsidRPr="00FC6704">
              <w:rPr>
                <w:b/>
                <w:noProof/>
              </w:rPr>
              <w:fldChar w:fldCharType="end"/>
            </w:r>
          </w:p>
          <w:p w:rsidR="00FC6704" w:rsidRPr="00FC6704" w:rsidRDefault="00FC6704">
            <w:pPr>
              <w:pStyle w:val="TOC2"/>
              <w:rPr>
                <w:rFonts w:asciiTheme="minorHAnsi" w:eastAsiaTheme="minorEastAsia" w:hAnsiTheme="minorHAnsi" w:cstheme="minorBidi"/>
                <w:i w:val="0"/>
                <w:noProof/>
                <w:sz w:val="22"/>
                <w:szCs w:val="22"/>
                <w:lang w:eastAsia="en-NZ"/>
              </w:rPr>
            </w:pPr>
            <w:r w:rsidRPr="00FC6704">
              <w:rPr>
                <w:i w:val="0"/>
                <w:noProof/>
              </w:rPr>
              <w:t>Changes needed to sustain a regularised workforce and fit-for – purpose HCSS</w:t>
            </w:r>
            <w:r w:rsidRPr="00FC6704">
              <w:rPr>
                <w:i w:val="0"/>
                <w:noProof/>
              </w:rPr>
              <w:tab/>
            </w:r>
            <w:r w:rsidRPr="00FC6704">
              <w:rPr>
                <w:i w:val="0"/>
                <w:noProof/>
              </w:rPr>
              <w:fldChar w:fldCharType="begin"/>
            </w:r>
            <w:r w:rsidRPr="00FC6704">
              <w:rPr>
                <w:i w:val="0"/>
                <w:noProof/>
              </w:rPr>
              <w:instrText xml:space="preserve"> PAGEREF _Toc426009422 \h </w:instrText>
            </w:r>
            <w:r w:rsidRPr="00FC6704">
              <w:rPr>
                <w:i w:val="0"/>
                <w:noProof/>
              </w:rPr>
            </w:r>
            <w:r w:rsidRPr="00FC6704">
              <w:rPr>
                <w:i w:val="0"/>
                <w:noProof/>
              </w:rPr>
              <w:fldChar w:fldCharType="separate"/>
            </w:r>
            <w:r w:rsidRPr="00FC6704">
              <w:rPr>
                <w:i w:val="0"/>
                <w:noProof/>
              </w:rPr>
              <w:t>31</w:t>
            </w:r>
            <w:r w:rsidRPr="00FC6704">
              <w:rPr>
                <w:i w:val="0"/>
                <w:noProof/>
              </w:rPr>
              <w:fldChar w:fldCharType="end"/>
            </w:r>
          </w:p>
          <w:p w:rsidR="00FC6704" w:rsidRPr="00FC6704" w:rsidRDefault="00FC6704">
            <w:pPr>
              <w:pStyle w:val="TOC2"/>
              <w:rPr>
                <w:rFonts w:asciiTheme="minorHAnsi" w:eastAsiaTheme="minorEastAsia" w:hAnsiTheme="minorHAnsi" w:cstheme="minorBidi"/>
                <w:i w:val="0"/>
                <w:noProof/>
                <w:sz w:val="22"/>
                <w:szCs w:val="22"/>
                <w:lang w:eastAsia="en-NZ"/>
              </w:rPr>
            </w:pPr>
            <w:r w:rsidRPr="00FC6704">
              <w:rPr>
                <w:i w:val="0"/>
                <w:noProof/>
              </w:rPr>
              <w:t>Funding arrangements</w:t>
            </w:r>
            <w:r w:rsidRPr="00FC6704">
              <w:rPr>
                <w:i w:val="0"/>
                <w:noProof/>
              </w:rPr>
              <w:tab/>
            </w:r>
            <w:r w:rsidRPr="00FC6704">
              <w:rPr>
                <w:i w:val="0"/>
                <w:noProof/>
              </w:rPr>
              <w:fldChar w:fldCharType="begin"/>
            </w:r>
            <w:r w:rsidRPr="00FC6704">
              <w:rPr>
                <w:i w:val="0"/>
                <w:noProof/>
              </w:rPr>
              <w:instrText xml:space="preserve"> PAGEREF _Toc426009423 \h </w:instrText>
            </w:r>
            <w:r w:rsidRPr="00FC6704">
              <w:rPr>
                <w:i w:val="0"/>
                <w:noProof/>
              </w:rPr>
            </w:r>
            <w:r w:rsidRPr="00FC6704">
              <w:rPr>
                <w:i w:val="0"/>
                <w:noProof/>
              </w:rPr>
              <w:fldChar w:fldCharType="separate"/>
            </w:r>
            <w:r w:rsidRPr="00FC6704">
              <w:rPr>
                <w:i w:val="0"/>
                <w:noProof/>
              </w:rPr>
              <w:t>31</w:t>
            </w:r>
            <w:r w:rsidRPr="00FC6704">
              <w:rPr>
                <w:i w:val="0"/>
                <w:noProof/>
              </w:rPr>
              <w:fldChar w:fldCharType="end"/>
            </w:r>
          </w:p>
          <w:p w:rsidR="00FC6704" w:rsidRPr="00FC6704" w:rsidRDefault="00FC6704">
            <w:pPr>
              <w:pStyle w:val="TOC2"/>
              <w:rPr>
                <w:rFonts w:asciiTheme="minorHAnsi" w:eastAsiaTheme="minorEastAsia" w:hAnsiTheme="minorHAnsi" w:cstheme="minorBidi"/>
                <w:i w:val="0"/>
                <w:noProof/>
                <w:sz w:val="22"/>
                <w:szCs w:val="22"/>
                <w:lang w:eastAsia="en-NZ"/>
              </w:rPr>
            </w:pPr>
            <w:r w:rsidRPr="00FC6704">
              <w:rPr>
                <w:i w:val="0"/>
                <w:noProof/>
              </w:rPr>
              <w:t>Objective of the funding methodology</w:t>
            </w:r>
            <w:r w:rsidRPr="00FC6704">
              <w:rPr>
                <w:i w:val="0"/>
                <w:noProof/>
              </w:rPr>
              <w:tab/>
            </w:r>
            <w:r w:rsidRPr="00FC6704">
              <w:rPr>
                <w:i w:val="0"/>
                <w:noProof/>
              </w:rPr>
              <w:fldChar w:fldCharType="begin"/>
            </w:r>
            <w:r w:rsidRPr="00FC6704">
              <w:rPr>
                <w:i w:val="0"/>
                <w:noProof/>
              </w:rPr>
              <w:instrText xml:space="preserve"> PAGEREF _Toc426009424 \h </w:instrText>
            </w:r>
            <w:r w:rsidRPr="00FC6704">
              <w:rPr>
                <w:i w:val="0"/>
                <w:noProof/>
              </w:rPr>
            </w:r>
            <w:r w:rsidRPr="00FC6704">
              <w:rPr>
                <w:i w:val="0"/>
                <w:noProof/>
              </w:rPr>
              <w:fldChar w:fldCharType="separate"/>
            </w:r>
            <w:r w:rsidRPr="00FC6704">
              <w:rPr>
                <w:i w:val="0"/>
                <w:noProof/>
              </w:rPr>
              <w:t>32</w:t>
            </w:r>
            <w:r w:rsidRPr="00FC6704">
              <w:rPr>
                <w:i w:val="0"/>
                <w:noProof/>
              </w:rPr>
              <w:fldChar w:fldCharType="end"/>
            </w:r>
          </w:p>
          <w:p w:rsidR="00FC6704" w:rsidRPr="00FC6704" w:rsidRDefault="00FC6704">
            <w:pPr>
              <w:pStyle w:val="TOC2"/>
              <w:rPr>
                <w:rFonts w:asciiTheme="minorHAnsi" w:eastAsiaTheme="minorEastAsia" w:hAnsiTheme="minorHAnsi" w:cstheme="minorBidi"/>
                <w:i w:val="0"/>
                <w:noProof/>
                <w:sz w:val="22"/>
                <w:szCs w:val="22"/>
                <w:lang w:eastAsia="en-NZ"/>
              </w:rPr>
            </w:pPr>
            <w:r w:rsidRPr="00FC6704">
              <w:rPr>
                <w:i w:val="0"/>
                <w:noProof/>
              </w:rPr>
              <w:t>Benefits of the recommended case-mix approach under a national framework</w:t>
            </w:r>
            <w:r w:rsidRPr="00FC6704">
              <w:rPr>
                <w:i w:val="0"/>
                <w:noProof/>
              </w:rPr>
              <w:tab/>
            </w:r>
            <w:r w:rsidRPr="00FC6704">
              <w:rPr>
                <w:i w:val="0"/>
                <w:noProof/>
              </w:rPr>
              <w:fldChar w:fldCharType="begin"/>
            </w:r>
            <w:r w:rsidRPr="00FC6704">
              <w:rPr>
                <w:i w:val="0"/>
                <w:noProof/>
              </w:rPr>
              <w:instrText xml:space="preserve"> PAGEREF _Toc426009425 \h </w:instrText>
            </w:r>
            <w:r w:rsidRPr="00FC6704">
              <w:rPr>
                <w:i w:val="0"/>
                <w:noProof/>
              </w:rPr>
            </w:r>
            <w:r w:rsidRPr="00FC6704">
              <w:rPr>
                <w:i w:val="0"/>
                <w:noProof/>
              </w:rPr>
              <w:fldChar w:fldCharType="separate"/>
            </w:r>
            <w:r w:rsidRPr="00FC6704">
              <w:rPr>
                <w:i w:val="0"/>
                <w:noProof/>
              </w:rPr>
              <w:t>32</w:t>
            </w:r>
            <w:r w:rsidRPr="00FC6704">
              <w:rPr>
                <w:i w:val="0"/>
                <w:noProof/>
              </w:rPr>
              <w:fldChar w:fldCharType="end"/>
            </w:r>
          </w:p>
          <w:p w:rsidR="00FC6704" w:rsidRPr="00FC6704" w:rsidRDefault="00FC6704">
            <w:pPr>
              <w:pStyle w:val="TOC2"/>
              <w:rPr>
                <w:rFonts w:asciiTheme="minorHAnsi" w:eastAsiaTheme="minorEastAsia" w:hAnsiTheme="minorHAnsi" w:cstheme="minorBidi"/>
                <w:i w:val="0"/>
                <w:noProof/>
                <w:sz w:val="22"/>
                <w:szCs w:val="22"/>
                <w:lang w:eastAsia="en-NZ"/>
              </w:rPr>
            </w:pPr>
            <w:r w:rsidRPr="00FC6704">
              <w:rPr>
                <w:i w:val="0"/>
                <w:noProof/>
              </w:rPr>
              <w:t>Quality standards and service standards</w:t>
            </w:r>
            <w:r w:rsidRPr="00FC6704">
              <w:rPr>
                <w:i w:val="0"/>
                <w:noProof/>
              </w:rPr>
              <w:tab/>
            </w:r>
            <w:r w:rsidRPr="00FC6704">
              <w:rPr>
                <w:i w:val="0"/>
                <w:noProof/>
              </w:rPr>
              <w:fldChar w:fldCharType="begin"/>
            </w:r>
            <w:r w:rsidRPr="00FC6704">
              <w:rPr>
                <w:i w:val="0"/>
                <w:noProof/>
              </w:rPr>
              <w:instrText xml:space="preserve"> PAGEREF _Toc426009426 \h </w:instrText>
            </w:r>
            <w:r w:rsidRPr="00FC6704">
              <w:rPr>
                <w:i w:val="0"/>
                <w:noProof/>
              </w:rPr>
            </w:r>
            <w:r w:rsidRPr="00FC6704">
              <w:rPr>
                <w:i w:val="0"/>
                <w:noProof/>
              </w:rPr>
              <w:fldChar w:fldCharType="separate"/>
            </w:r>
            <w:r w:rsidRPr="00FC6704">
              <w:rPr>
                <w:i w:val="0"/>
                <w:noProof/>
              </w:rPr>
              <w:t>32</w:t>
            </w:r>
            <w:r w:rsidRPr="00FC6704">
              <w:rPr>
                <w:i w:val="0"/>
                <w:noProof/>
              </w:rPr>
              <w:fldChar w:fldCharType="end"/>
            </w:r>
          </w:p>
          <w:p w:rsidR="00FC6704" w:rsidRPr="00FC6704" w:rsidRDefault="00FC6704">
            <w:pPr>
              <w:pStyle w:val="TOC1"/>
              <w:rPr>
                <w:rFonts w:asciiTheme="minorHAnsi" w:eastAsiaTheme="minorEastAsia" w:hAnsiTheme="minorHAnsi" w:cstheme="minorBidi"/>
                <w:b/>
                <w:noProof/>
                <w:sz w:val="22"/>
                <w:szCs w:val="22"/>
                <w:lang w:eastAsia="en-NZ"/>
              </w:rPr>
            </w:pPr>
            <w:r w:rsidRPr="00FC6704">
              <w:rPr>
                <w:b/>
                <w:noProof/>
              </w:rPr>
              <w:t>Appendix 1: Costing and pricing model</w:t>
            </w:r>
            <w:r w:rsidRPr="00FC6704">
              <w:rPr>
                <w:b/>
                <w:noProof/>
              </w:rPr>
              <w:tab/>
            </w:r>
            <w:r w:rsidRPr="00FC6704">
              <w:rPr>
                <w:b/>
                <w:noProof/>
              </w:rPr>
              <w:fldChar w:fldCharType="begin"/>
            </w:r>
            <w:r w:rsidRPr="00FC6704">
              <w:rPr>
                <w:b/>
                <w:noProof/>
              </w:rPr>
              <w:instrText xml:space="preserve"> PAGEREF _Toc426009427 \h </w:instrText>
            </w:r>
            <w:r w:rsidRPr="00FC6704">
              <w:rPr>
                <w:b/>
                <w:noProof/>
              </w:rPr>
            </w:r>
            <w:r w:rsidRPr="00FC6704">
              <w:rPr>
                <w:b/>
                <w:noProof/>
              </w:rPr>
              <w:fldChar w:fldCharType="separate"/>
            </w:r>
            <w:r w:rsidRPr="00FC6704">
              <w:rPr>
                <w:b/>
                <w:noProof/>
              </w:rPr>
              <w:t>33</w:t>
            </w:r>
            <w:r w:rsidRPr="00FC6704">
              <w:rPr>
                <w:b/>
                <w:noProof/>
              </w:rPr>
              <w:fldChar w:fldCharType="end"/>
            </w:r>
          </w:p>
          <w:p w:rsidR="00FC6704" w:rsidRPr="004B31BC" w:rsidRDefault="00FC6704">
            <w:pPr>
              <w:pStyle w:val="TOC2"/>
              <w:rPr>
                <w:rFonts w:asciiTheme="minorHAnsi" w:eastAsiaTheme="minorEastAsia" w:hAnsiTheme="minorHAnsi" w:cstheme="minorBidi"/>
                <w:i w:val="0"/>
                <w:noProof/>
                <w:sz w:val="22"/>
                <w:szCs w:val="22"/>
                <w:lang w:eastAsia="en-NZ"/>
              </w:rPr>
            </w:pPr>
            <w:r w:rsidRPr="004B31BC">
              <w:rPr>
                <w:i w:val="0"/>
                <w:noProof/>
              </w:rPr>
              <w:t>Costing and pricing model</w:t>
            </w:r>
            <w:r w:rsidRPr="004B31BC">
              <w:rPr>
                <w:i w:val="0"/>
                <w:noProof/>
              </w:rPr>
              <w:tab/>
            </w:r>
            <w:r w:rsidRPr="004B31BC">
              <w:rPr>
                <w:i w:val="0"/>
                <w:noProof/>
              </w:rPr>
              <w:fldChar w:fldCharType="begin"/>
            </w:r>
            <w:r w:rsidRPr="004B31BC">
              <w:rPr>
                <w:i w:val="0"/>
                <w:noProof/>
              </w:rPr>
              <w:instrText xml:space="preserve"> PAGEREF _Toc426009428 \h </w:instrText>
            </w:r>
            <w:r w:rsidRPr="004B31BC">
              <w:rPr>
                <w:i w:val="0"/>
                <w:noProof/>
              </w:rPr>
            </w:r>
            <w:r w:rsidRPr="004B31BC">
              <w:rPr>
                <w:i w:val="0"/>
                <w:noProof/>
              </w:rPr>
              <w:fldChar w:fldCharType="separate"/>
            </w:r>
            <w:r w:rsidRPr="004B31BC">
              <w:rPr>
                <w:i w:val="0"/>
                <w:noProof/>
              </w:rPr>
              <w:t>33</w:t>
            </w:r>
            <w:r w:rsidRPr="004B31BC">
              <w:rPr>
                <w:i w:val="0"/>
                <w:noProof/>
              </w:rPr>
              <w:fldChar w:fldCharType="end"/>
            </w:r>
          </w:p>
          <w:p w:rsidR="00FC6704" w:rsidRPr="004B31BC" w:rsidRDefault="00FC6704">
            <w:pPr>
              <w:pStyle w:val="TOC2"/>
              <w:rPr>
                <w:rFonts w:asciiTheme="minorHAnsi" w:eastAsiaTheme="minorEastAsia" w:hAnsiTheme="minorHAnsi" w:cstheme="minorBidi"/>
                <w:i w:val="0"/>
                <w:noProof/>
                <w:sz w:val="22"/>
                <w:szCs w:val="22"/>
                <w:lang w:eastAsia="en-NZ"/>
              </w:rPr>
            </w:pPr>
            <w:r w:rsidRPr="004B31BC">
              <w:rPr>
                <w:i w:val="0"/>
                <w:noProof/>
              </w:rPr>
              <w:t>Explanation of Cost and Price Modelling Scenarios</w:t>
            </w:r>
            <w:r w:rsidRPr="004B31BC">
              <w:rPr>
                <w:i w:val="0"/>
                <w:noProof/>
              </w:rPr>
              <w:tab/>
            </w:r>
            <w:r w:rsidRPr="004B31BC">
              <w:rPr>
                <w:i w:val="0"/>
                <w:noProof/>
              </w:rPr>
              <w:fldChar w:fldCharType="begin"/>
            </w:r>
            <w:r w:rsidRPr="004B31BC">
              <w:rPr>
                <w:i w:val="0"/>
                <w:noProof/>
              </w:rPr>
              <w:instrText xml:space="preserve"> PAGEREF _Toc426009429 \h </w:instrText>
            </w:r>
            <w:r w:rsidRPr="004B31BC">
              <w:rPr>
                <w:i w:val="0"/>
                <w:noProof/>
              </w:rPr>
            </w:r>
            <w:r w:rsidRPr="004B31BC">
              <w:rPr>
                <w:i w:val="0"/>
                <w:noProof/>
              </w:rPr>
              <w:fldChar w:fldCharType="separate"/>
            </w:r>
            <w:r w:rsidRPr="004B31BC">
              <w:rPr>
                <w:i w:val="0"/>
                <w:noProof/>
              </w:rPr>
              <w:t>35</w:t>
            </w:r>
            <w:r w:rsidRPr="004B31BC">
              <w:rPr>
                <w:i w:val="0"/>
                <w:noProof/>
              </w:rPr>
              <w:fldChar w:fldCharType="end"/>
            </w:r>
          </w:p>
          <w:p w:rsidR="00FC6704" w:rsidRPr="00FC6704" w:rsidRDefault="00FC6704">
            <w:pPr>
              <w:pStyle w:val="TOC1"/>
              <w:rPr>
                <w:rFonts w:asciiTheme="minorHAnsi" w:eastAsiaTheme="minorEastAsia" w:hAnsiTheme="minorHAnsi" w:cstheme="minorBidi"/>
                <w:b/>
                <w:noProof/>
                <w:sz w:val="22"/>
                <w:szCs w:val="22"/>
                <w:lang w:eastAsia="en-NZ"/>
              </w:rPr>
            </w:pPr>
            <w:r w:rsidRPr="00FC6704">
              <w:rPr>
                <w:b/>
                <w:noProof/>
              </w:rPr>
              <w:t>Appendix 2: Programme structure</w:t>
            </w:r>
            <w:r w:rsidRPr="00FC6704">
              <w:rPr>
                <w:b/>
                <w:noProof/>
              </w:rPr>
              <w:tab/>
            </w:r>
            <w:r w:rsidRPr="00FC6704">
              <w:rPr>
                <w:b/>
                <w:noProof/>
              </w:rPr>
              <w:fldChar w:fldCharType="begin"/>
            </w:r>
            <w:r w:rsidRPr="00FC6704">
              <w:rPr>
                <w:b/>
                <w:noProof/>
              </w:rPr>
              <w:instrText xml:space="preserve"> PAGEREF _Toc426009430 \h </w:instrText>
            </w:r>
            <w:r w:rsidRPr="00FC6704">
              <w:rPr>
                <w:b/>
                <w:noProof/>
              </w:rPr>
            </w:r>
            <w:r w:rsidRPr="00FC6704">
              <w:rPr>
                <w:b/>
                <w:noProof/>
              </w:rPr>
              <w:fldChar w:fldCharType="separate"/>
            </w:r>
            <w:r w:rsidRPr="00FC6704">
              <w:rPr>
                <w:b/>
                <w:noProof/>
              </w:rPr>
              <w:t>36</w:t>
            </w:r>
            <w:r w:rsidRPr="00FC6704">
              <w:rPr>
                <w:b/>
                <w:noProof/>
              </w:rPr>
              <w:fldChar w:fldCharType="end"/>
            </w:r>
          </w:p>
          <w:p w:rsidR="00FC6704" w:rsidRPr="004B31BC" w:rsidRDefault="00FC6704">
            <w:pPr>
              <w:pStyle w:val="TOC2"/>
              <w:rPr>
                <w:rFonts w:asciiTheme="minorHAnsi" w:eastAsiaTheme="minorEastAsia" w:hAnsiTheme="minorHAnsi" w:cstheme="minorBidi"/>
                <w:i w:val="0"/>
                <w:noProof/>
                <w:sz w:val="22"/>
                <w:szCs w:val="22"/>
                <w:lang w:eastAsia="en-NZ"/>
              </w:rPr>
            </w:pPr>
            <w:r w:rsidRPr="004B31BC">
              <w:rPr>
                <w:i w:val="0"/>
                <w:noProof/>
              </w:rPr>
              <w:t>Level 2 qualification</w:t>
            </w:r>
            <w:r w:rsidRPr="004B31BC">
              <w:rPr>
                <w:i w:val="0"/>
                <w:noProof/>
              </w:rPr>
              <w:tab/>
            </w:r>
            <w:r w:rsidRPr="004B31BC">
              <w:rPr>
                <w:i w:val="0"/>
                <w:noProof/>
              </w:rPr>
              <w:fldChar w:fldCharType="begin"/>
            </w:r>
            <w:r w:rsidRPr="004B31BC">
              <w:rPr>
                <w:i w:val="0"/>
                <w:noProof/>
              </w:rPr>
              <w:instrText xml:space="preserve"> PAGEREF _Toc426009431 \h </w:instrText>
            </w:r>
            <w:r w:rsidRPr="004B31BC">
              <w:rPr>
                <w:i w:val="0"/>
                <w:noProof/>
              </w:rPr>
            </w:r>
            <w:r w:rsidRPr="004B31BC">
              <w:rPr>
                <w:i w:val="0"/>
                <w:noProof/>
              </w:rPr>
              <w:fldChar w:fldCharType="separate"/>
            </w:r>
            <w:r w:rsidRPr="004B31BC">
              <w:rPr>
                <w:i w:val="0"/>
                <w:noProof/>
              </w:rPr>
              <w:t>36</w:t>
            </w:r>
            <w:r w:rsidRPr="004B31BC">
              <w:rPr>
                <w:i w:val="0"/>
                <w:noProof/>
              </w:rPr>
              <w:fldChar w:fldCharType="end"/>
            </w:r>
          </w:p>
          <w:p w:rsidR="00FC6704" w:rsidRPr="004B31BC" w:rsidRDefault="00FC6704">
            <w:pPr>
              <w:pStyle w:val="TOC2"/>
              <w:rPr>
                <w:rFonts w:asciiTheme="minorHAnsi" w:eastAsiaTheme="minorEastAsia" w:hAnsiTheme="minorHAnsi" w:cstheme="minorBidi"/>
                <w:i w:val="0"/>
                <w:noProof/>
                <w:sz w:val="22"/>
                <w:szCs w:val="22"/>
                <w:lang w:eastAsia="en-NZ"/>
              </w:rPr>
            </w:pPr>
            <w:r w:rsidRPr="004B31BC">
              <w:rPr>
                <w:i w:val="0"/>
                <w:noProof/>
              </w:rPr>
              <w:t>Level 3 qualification</w:t>
            </w:r>
            <w:r w:rsidRPr="004B31BC">
              <w:rPr>
                <w:i w:val="0"/>
                <w:noProof/>
              </w:rPr>
              <w:tab/>
            </w:r>
            <w:r w:rsidRPr="004B31BC">
              <w:rPr>
                <w:i w:val="0"/>
                <w:noProof/>
              </w:rPr>
              <w:fldChar w:fldCharType="begin"/>
            </w:r>
            <w:r w:rsidRPr="004B31BC">
              <w:rPr>
                <w:i w:val="0"/>
                <w:noProof/>
              </w:rPr>
              <w:instrText xml:space="preserve"> PAGEREF _Toc426009432 \h </w:instrText>
            </w:r>
            <w:r w:rsidRPr="004B31BC">
              <w:rPr>
                <w:i w:val="0"/>
                <w:noProof/>
              </w:rPr>
            </w:r>
            <w:r w:rsidRPr="004B31BC">
              <w:rPr>
                <w:i w:val="0"/>
                <w:noProof/>
              </w:rPr>
              <w:fldChar w:fldCharType="separate"/>
            </w:r>
            <w:r w:rsidRPr="004B31BC">
              <w:rPr>
                <w:i w:val="0"/>
                <w:noProof/>
              </w:rPr>
              <w:t>37</w:t>
            </w:r>
            <w:r w:rsidRPr="004B31BC">
              <w:rPr>
                <w:i w:val="0"/>
                <w:noProof/>
              </w:rPr>
              <w:fldChar w:fldCharType="end"/>
            </w:r>
          </w:p>
          <w:p w:rsidR="00852294" w:rsidRPr="003E7106" w:rsidRDefault="00A170C8" w:rsidP="00FB790D">
            <w:pPr>
              <w:pStyle w:val="TOC2"/>
            </w:pPr>
            <w:r w:rsidRPr="003E7106">
              <w:fldChar w:fldCharType="end"/>
            </w:r>
          </w:p>
        </w:tc>
      </w:tr>
      <w:bookmarkEnd w:id="0"/>
      <w:bookmarkEnd w:id="1"/>
    </w:tbl>
    <w:p w:rsidR="003A5FEA" w:rsidRPr="003E7106" w:rsidRDefault="003A5FEA" w:rsidP="003A5FEA"/>
    <w:p w:rsidR="006011A5" w:rsidRPr="003E7106" w:rsidRDefault="0021763B" w:rsidP="006011A5">
      <w:r w:rsidRPr="003E7106">
        <w:br w:type="page"/>
      </w:r>
    </w:p>
    <w:p w:rsidR="006011A5" w:rsidRPr="003E7106" w:rsidRDefault="006011A5" w:rsidP="006011A5">
      <w:pPr>
        <w:pStyle w:val="TableText"/>
        <w:sectPr w:rsidR="006011A5" w:rsidRPr="003E7106" w:rsidSect="003421F5">
          <w:headerReference w:type="default" r:id="rId11"/>
          <w:footerReference w:type="default" r:id="rId12"/>
          <w:pgSz w:w="16834" w:h="11907" w:orient="landscape" w:code="9"/>
          <w:pgMar w:top="1134" w:right="1134" w:bottom="1134" w:left="1134" w:header="425" w:footer="425" w:gutter="0"/>
          <w:pgNumType w:start="1"/>
          <w:cols w:space="720"/>
          <w:docGrid w:linePitch="299"/>
        </w:sectPr>
      </w:pPr>
    </w:p>
    <w:p w:rsidR="006011A5" w:rsidRPr="003E7106" w:rsidRDefault="006011A5" w:rsidP="006011A5">
      <w:pPr>
        <w:pStyle w:val="TableText"/>
        <w:spacing w:before="0" w:after="240"/>
        <w:jc w:val="center"/>
        <w:rPr>
          <w:b/>
          <w:color w:val="365F91"/>
          <w:sz w:val="24"/>
        </w:rPr>
      </w:pPr>
      <w:r w:rsidRPr="003E7106">
        <w:rPr>
          <w:b/>
          <w:color w:val="365F91"/>
          <w:sz w:val="24"/>
        </w:rPr>
        <w:t>Case studies: current state</w:t>
      </w:r>
    </w:p>
    <w:p w:rsidR="006011A5" w:rsidRPr="003E7106" w:rsidRDefault="006011A5" w:rsidP="006011A5">
      <w:r w:rsidRPr="003E7106">
        <w:rPr>
          <w:noProof/>
          <w:lang w:eastAsia="en-NZ"/>
        </w:rPr>
        <mc:AlternateContent>
          <mc:Choice Requires="wps">
            <w:drawing>
              <wp:inline distT="0" distB="0" distL="0" distR="0" wp14:anchorId="64CAF1C7" wp14:editId="58AA3A1B">
                <wp:extent cx="4372495" cy="5660967"/>
                <wp:effectExtent l="0" t="0" r="28575" b="16510"/>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2495" cy="5660967"/>
                        </a:xfrm>
                        <a:prstGeom prst="roundRect">
                          <a:avLst>
                            <a:gd name="adj" fmla="val 10587"/>
                          </a:avLst>
                        </a:prstGeom>
                        <a:solidFill>
                          <a:srgbClr val="4F81BD"/>
                        </a:solidFill>
                        <a:ln w="25400" cap="flat" cmpd="sng" algn="ctr">
                          <a:solidFill>
                            <a:srgbClr val="4F81BD">
                              <a:shade val="50000"/>
                            </a:srgbClr>
                          </a:solidFill>
                          <a:prstDash val="solid"/>
                        </a:ln>
                        <a:effectLst/>
                      </wps:spPr>
                      <wps:txbx>
                        <w:txbxContent>
                          <w:p w:rsidR="00FC6704" w:rsidRPr="006011A5" w:rsidRDefault="00FC6704" w:rsidP="006011A5">
                            <w:pPr>
                              <w:spacing w:after="240" w:line="240" w:lineRule="auto"/>
                              <w:jc w:val="center"/>
                              <w:rPr>
                                <w:b/>
                                <w:color w:val="FFFFFF"/>
                                <w:sz w:val="24"/>
                                <w:szCs w:val="18"/>
                              </w:rPr>
                            </w:pPr>
                            <w:r w:rsidRPr="006011A5">
                              <w:rPr>
                                <w:b/>
                                <w:color w:val="FFFFFF"/>
                                <w:sz w:val="24"/>
                                <w:szCs w:val="18"/>
                              </w:rPr>
                              <w:t>Support Worker story</w:t>
                            </w:r>
                          </w:p>
                          <w:p w:rsidR="00FC6704" w:rsidRDefault="00FC6704" w:rsidP="006011A5">
                            <w:pPr>
                              <w:rPr>
                                <w:color w:val="FFFFFF" w:themeColor="background1"/>
                              </w:rPr>
                            </w:pPr>
                            <w:r w:rsidRPr="006011A5">
                              <w:rPr>
                                <w:color w:val="FFFFFF" w:themeColor="background1"/>
                              </w:rPr>
                              <w:t>Penny is a middle aged woman who has limited employment history because she has focused on being a stay at home mum while her children were at school.</w:t>
                            </w:r>
                            <w:r>
                              <w:rPr>
                                <w:color w:val="FFFFFF" w:themeColor="background1"/>
                              </w:rPr>
                              <w:t xml:space="preserve"> </w:t>
                            </w:r>
                            <w:r w:rsidRPr="006011A5">
                              <w:rPr>
                                <w:color w:val="FFFFFF" w:themeColor="background1"/>
                              </w:rPr>
                              <w:t>To help supplement the family income she has taken on many part-time jobs across a range of industries.</w:t>
                            </w:r>
                            <w:r>
                              <w:rPr>
                                <w:color w:val="FFFFFF" w:themeColor="background1"/>
                              </w:rPr>
                              <w:t xml:space="preserve"> </w:t>
                            </w:r>
                            <w:r w:rsidRPr="006011A5">
                              <w:rPr>
                                <w:color w:val="FFFFFF" w:themeColor="background1"/>
                              </w:rPr>
                              <w:t>This means that her employment history can look a bit unsettled to prospective employers.</w:t>
                            </w:r>
                          </w:p>
                          <w:p w:rsidR="00FC6704" w:rsidRDefault="00FC6704" w:rsidP="00AE2835">
                            <w:pPr>
                              <w:spacing w:before="240"/>
                              <w:rPr>
                                <w:color w:val="FFFFFF" w:themeColor="background1"/>
                              </w:rPr>
                            </w:pPr>
                            <w:r w:rsidRPr="006011A5">
                              <w:rPr>
                                <w:color w:val="FFFFFF" w:themeColor="background1"/>
                              </w:rPr>
                              <w:t>Penny has always avoided educational settings because she finds bookwork challenging and doesn</w:t>
                            </w:r>
                            <w:r>
                              <w:rPr>
                                <w:color w:val="FFFFFF" w:themeColor="background1"/>
                              </w:rPr>
                              <w:t>’</w:t>
                            </w:r>
                            <w:r w:rsidRPr="006011A5">
                              <w:rPr>
                                <w:color w:val="FFFFFF" w:themeColor="background1"/>
                              </w:rPr>
                              <w:t>t like to sit in a classroom.</w:t>
                            </w:r>
                            <w:r>
                              <w:rPr>
                                <w:color w:val="FFFFFF" w:themeColor="background1"/>
                              </w:rPr>
                              <w:t xml:space="preserve"> </w:t>
                            </w:r>
                            <w:r w:rsidRPr="006011A5">
                              <w:rPr>
                                <w:color w:val="FFFFFF" w:themeColor="background1"/>
                              </w:rPr>
                              <w:t>She would much rather get on with things practically.</w:t>
                            </w:r>
                            <w:r>
                              <w:rPr>
                                <w:color w:val="FFFFFF" w:themeColor="background1"/>
                              </w:rPr>
                              <w:t xml:space="preserve"> </w:t>
                            </w:r>
                            <w:r w:rsidRPr="006011A5">
                              <w:rPr>
                                <w:color w:val="FFFFFF" w:themeColor="background1"/>
                              </w:rPr>
                              <w:t>This means that she has no formal qualifications.</w:t>
                            </w:r>
                          </w:p>
                          <w:p w:rsidR="00FC6704" w:rsidRDefault="00FC6704" w:rsidP="00AE2835">
                            <w:pPr>
                              <w:spacing w:before="240"/>
                              <w:rPr>
                                <w:color w:val="FFFFFF" w:themeColor="background1"/>
                              </w:rPr>
                            </w:pPr>
                            <w:r w:rsidRPr="006011A5">
                              <w:rPr>
                                <w:color w:val="FFFFFF" w:themeColor="background1"/>
                              </w:rPr>
                              <w:t>Now that her children have left home, she has joined the home and community health sector because she wants to use her life experience and caring nature within her own community.</w:t>
                            </w:r>
                          </w:p>
                          <w:p w:rsidR="00FC6704" w:rsidRDefault="00FC6704" w:rsidP="00AE2835">
                            <w:pPr>
                              <w:spacing w:before="240"/>
                              <w:rPr>
                                <w:color w:val="FFFFFF" w:themeColor="background1"/>
                              </w:rPr>
                            </w:pPr>
                            <w:r w:rsidRPr="006011A5">
                              <w:rPr>
                                <w:color w:val="FFFFFF" w:themeColor="background1"/>
                              </w:rPr>
                              <w:t>Penny loves her job and the people she supports; she knows she makes a real difference.</w:t>
                            </w:r>
                            <w:r>
                              <w:rPr>
                                <w:color w:val="FFFFFF" w:themeColor="background1"/>
                              </w:rPr>
                              <w:t xml:space="preserve"> </w:t>
                            </w:r>
                            <w:r w:rsidRPr="006011A5">
                              <w:rPr>
                                <w:color w:val="FFFFFF" w:themeColor="background1"/>
                              </w:rPr>
                              <w:t>Her employer tries to give her the same clients each week but sometimes she is asked to support people she hasn</w:t>
                            </w:r>
                            <w:r>
                              <w:rPr>
                                <w:color w:val="FFFFFF" w:themeColor="background1"/>
                              </w:rPr>
                              <w:t>’</w:t>
                            </w:r>
                            <w:r w:rsidRPr="006011A5">
                              <w:rPr>
                                <w:color w:val="FFFFFF" w:themeColor="background1"/>
                              </w:rPr>
                              <w:t>t met and this can be really challenging as she doesn</w:t>
                            </w:r>
                            <w:r>
                              <w:rPr>
                                <w:color w:val="FFFFFF" w:themeColor="background1"/>
                              </w:rPr>
                              <w:t>’</w:t>
                            </w:r>
                            <w:r w:rsidRPr="006011A5">
                              <w:rPr>
                                <w:color w:val="FFFFFF" w:themeColor="background1"/>
                              </w:rPr>
                              <w:t>t always know what the client likes.</w:t>
                            </w:r>
                          </w:p>
                          <w:p w:rsidR="00FC6704" w:rsidRDefault="00FC6704" w:rsidP="00AE2835">
                            <w:pPr>
                              <w:spacing w:before="240"/>
                              <w:rPr>
                                <w:color w:val="FFFFFF" w:themeColor="background1"/>
                              </w:rPr>
                            </w:pPr>
                            <w:r w:rsidRPr="006011A5">
                              <w:rPr>
                                <w:color w:val="FFFFFF" w:themeColor="background1"/>
                              </w:rPr>
                              <w:t>Penny understands why her hours move up and down every week but really wishes they didn</w:t>
                            </w:r>
                            <w:r>
                              <w:rPr>
                                <w:color w:val="FFFFFF" w:themeColor="background1"/>
                              </w:rPr>
                              <w:t>’</w:t>
                            </w:r>
                            <w:r w:rsidRPr="006011A5">
                              <w:rPr>
                                <w:color w:val="FFFFFF" w:themeColor="background1"/>
                              </w:rPr>
                              <w:t>t.</w:t>
                            </w:r>
                            <w:r>
                              <w:rPr>
                                <w:color w:val="FFFFFF" w:themeColor="background1"/>
                              </w:rPr>
                              <w:t xml:space="preserve"> </w:t>
                            </w:r>
                            <w:r w:rsidRPr="006011A5">
                              <w:rPr>
                                <w:color w:val="FFFFFF" w:themeColor="background1"/>
                              </w:rPr>
                              <w:t>She finds it really hard when her hours reduce because she gets less money that week.</w:t>
                            </w:r>
                            <w:r>
                              <w:rPr>
                                <w:color w:val="FFFFFF" w:themeColor="background1"/>
                              </w:rPr>
                              <w:t xml:space="preserve"> </w:t>
                            </w:r>
                            <w:r w:rsidRPr="006011A5">
                              <w:rPr>
                                <w:color w:val="FFFFFF" w:themeColor="background1"/>
                              </w:rPr>
                              <w:t>It makes a real difference when petrol prices rise quickly or something unexpected happens like when her car broke down last week.</w:t>
                            </w:r>
                            <w:r>
                              <w:rPr>
                                <w:color w:val="FFFFFF" w:themeColor="background1"/>
                              </w:rPr>
                              <w:t xml:space="preserve"> </w:t>
                            </w:r>
                            <w:r w:rsidRPr="006011A5">
                              <w:rPr>
                                <w:color w:val="FFFFFF" w:themeColor="background1"/>
                              </w:rPr>
                              <w:t>She has also noticed that it</w:t>
                            </w:r>
                            <w:r>
                              <w:rPr>
                                <w:color w:val="FFFFFF" w:themeColor="background1"/>
                              </w:rPr>
                              <w:t>’</w:t>
                            </w:r>
                            <w:r w:rsidRPr="006011A5">
                              <w:rPr>
                                <w:color w:val="FFFFFF" w:themeColor="background1"/>
                              </w:rPr>
                              <w:t>s a lot harder to get things on hire purchase when you can</w:t>
                            </w:r>
                            <w:r>
                              <w:rPr>
                                <w:color w:val="FFFFFF" w:themeColor="background1"/>
                              </w:rPr>
                              <w:t>’</w:t>
                            </w:r>
                            <w:r w:rsidRPr="006011A5">
                              <w:rPr>
                                <w:color w:val="FFFFFF" w:themeColor="background1"/>
                              </w:rPr>
                              <w:t>t say for sure what your income is.</w:t>
                            </w:r>
                          </w:p>
                          <w:p w:rsidR="00FC6704" w:rsidRPr="003C6AF7" w:rsidRDefault="00FC6704" w:rsidP="00AE2835">
                            <w:pPr>
                              <w:spacing w:before="240"/>
                              <w:rPr>
                                <w:color w:val="FFFFFF" w:themeColor="background1"/>
                              </w:rPr>
                            </w:pPr>
                            <w:r w:rsidRPr="003C6AF7">
                              <w:rPr>
                                <w:color w:val="FFFFFF" w:themeColor="background1"/>
                              </w:rPr>
                              <w:t>This story helps illustrate that the majority of Support Workers:</w:t>
                            </w:r>
                          </w:p>
                          <w:p w:rsidR="00FC6704" w:rsidRPr="006011A5" w:rsidRDefault="00FC6704" w:rsidP="003C6AF7">
                            <w:pPr>
                              <w:pStyle w:val="Bullet"/>
                              <w:spacing w:before="60"/>
                              <w:rPr>
                                <w:color w:val="FFFFFF" w:themeColor="background1"/>
                              </w:rPr>
                            </w:pPr>
                            <w:r w:rsidRPr="006011A5">
                              <w:rPr>
                                <w:color w:val="FFFFFF" w:themeColor="background1"/>
                              </w:rPr>
                              <w:t>are women, over the age of 45 with no qualifications.</w:t>
                            </w:r>
                          </w:p>
                          <w:p w:rsidR="00FC6704" w:rsidRPr="006011A5" w:rsidRDefault="00FC6704" w:rsidP="003C6AF7">
                            <w:pPr>
                              <w:pStyle w:val="Bullet"/>
                              <w:spacing w:before="60"/>
                              <w:rPr>
                                <w:color w:val="FFFFFF" w:themeColor="background1"/>
                              </w:rPr>
                            </w:pPr>
                            <w:r w:rsidRPr="006011A5">
                              <w:rPr>
                                <w:color w:val="FFFFFF" w:themeColor="background1"/>
                              </w:rPr>
                              <w:t>find the prospect of gaining a qualification challenging</w:t>
                            </w:r>
                          </w:p>
                          <w:p w:rsidR="00FC6704" w:rsidRPr="006011A5" w:rsidRDefault="00FC6704" w:rsidP="003C6AF7">
                            <w:pPr>
                              <w:pStyle w:val="Bullet"/>
                              <w:spacing w:before="60"/>
                              <w:rPr>
                                <w:color w:val="FFFFFF" w:themeColor="background1"/>
                              </w:rPr>
                            </w:pPr>
                            <w:r w:rsidRPr="006011A5">
                              <w:rPr>
                                <w:color w:val="FFFFFF" w:themeColor="background1"/>
                              </w:rPr>
                              <w:t>have the right values and attitude to support and provide services within the 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id="Rounded Rectangle 9" o:spid="_x0000_s1026" style="width:344.3pt;height:445.75pt;visibility:visible;mso-wrap-style:square;mso-left-percent:-10001;mso-top-percent:-10001;mso-position-horizontal:absolute;mso-position-horizontal-relative:char;mso-position-vertical:absolute;mso-position-vertical-relative:line;mso-left-percent:-10001;mso-top-percent:-10001;v-text-anchor:top" arcsize="69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" fillcolor="#4f81bd" strokecolor="#385d8a" strokeweight="2pt">
                <v:path arrowok="t"/>
                <v:textbox>
                  <w:txbxContent>
                    <w:p w:rsidR="00FC6704" w:rsidRPr="006011A5" w:rsidRDefault="00FC6704" w:rsidP="006011A5">
                      <w:pPr>
                        <w:spacing w:after="240" w:line="240" w:lineRule="auto"/>
                        <w:jc w:val="center"/>
                        <w:rPr>
                          <w:b/>
                          <w:color w:val="FFFFFF"/>
                          <w:sz w:val="24"/>
                          <w:szCs w:val="18"/>
                        </w:rPr>
                      </w:pPr>
                      <w:r w:rsidRPr="006011A5">
                        <w:rPr>
                          <w:b/>
                          <w:color w:val="FFFFFF"/>
                          <w:sz w:val="24"/>
                          <w:szCs w:val="18"/>
                        </w:rPr>
                        <w:t>Support Worker story</w:t>
                      </w:r>
                    </w:p>
                    <w:p w:rsidR="00FC6704" w:rsidRDefault="00FC6704" w:rsidP="006011A5">
                      <w:pPr>
                        <w:rPr>
                          <w:color w:val="FFFFFF" w:themeColor="background1"/>
                        </w:rPr>
                      </w:pPr>
                      <w:r w:rsidRPr="006011A5">
                        <w:rPr>
                          <w:color w:val="FFFFFF" w:themeColor="background1"/>
                        </w:rPr>
                        <w:t>Penny is a middle aged woman who has limited employment history because she has focused on being a stay at home mum while her children were at school.</w:t>
                      </w:r>
                      <w:r>
                        <w:rPr>
                          <w:color w:val="FFFFFF" w:themeColor="background1"/>
                        </w:rPr>
                        <w:t xml:space="preserve"> </w:t>
                      </w:r>
                      <w:r w:rsidRPr="006011A5">
                        <w:rPr>
                          <w:color w:val="FFFFFF" w:themeColor="background1"/>
                        </w:rPr>
                        <w:t>To help supplement the family income she has taken on many part-time jobs across a range of industries.</w:t>
                      </w:r>
                      <w:r>
                        <w:rPr>
                          <w:color w:val="FFFFFF" w:themeColor="background1"/>
                        </w:rPr>
                        <w:t xml:space="preserve"> </w:t>
                      </w:r>
                      <w:r w:rsidRPr="006011A5">
                        <w:rPr>
                          <w:color w:val="FFFFFF" w:themeColor="background1"/>
                        </w:rPr>
                        <w:t>This means that her employment history can look a bit unsettled to prospective employers.</w:t>
                      </w:r>
                    </w:p>
                    <w:p w:rsidR="00FC6704" w:rsidRDefault="00FC6704" w:rsidP="00AE2835">
                      <w:pPr>
                        <w:spacing w:before="240"/>
                        <w:rPr>
                          <w:color w:val="FFFFFF" w:themeColor="background1"/>
                        </w:rPr>
                      </w:pPr>
                      <w:r w:rsidRPr="006011A5">
                        <w:rPr>
                          <w:color w:val="FFFFFF" w:themeColor="background1"/>
                        </w:rPr>
                        <w:t>Penny has always avoided educational settings because she finds bookwork challenging and doesn</w:t>
                      </w:r>
                      <w:r>
                        <w:rPr>
                          <w:color w:val="FFFFFF" w:themeColor="background1"/>
                        </w:rPr>
                        <w:t>’</w:t>
                      </w:r>
                      <w:r w:rsidRPr="006011A5">
                        <w:rPr>
                          <w:color w:val="FFFFFF" w:themeColor="background1"/>
                        </w:rPr>
                        <w:t>t like to sit in a classroom.</w:t>
                      </w:r>
                      <w:r>
                        <w:rPr>
                          <w:color w:val="FFFFFF" w:themeColor="background1"/>
                        </w:rPr>
                        <w:t xml:space="preserve"> </w:t>
                      </w:r>
                      <w:r w:rsidRPr="006011A5">
                        <w:rPr>
                          <w:color w:val="FFFFFF" w:themeColor="background1"/>
                        </w:rPr>
                        <w:t>She would much rather get on with things practically.</w:t>
                      </w:r>
                      <w:r>
                        <w:rPr>
                          <w:color w:val="FFFFFF" w:themeColor="background1"/>
                        </w:rPr>
                        <w:t xml:space="preserve"> </w:t>
                      </w:r>
                      <w:r w:rsidRPr="006011A5">
                        <w:rPr>
                          <w:color w:val="FFFFFF" w:themeColor="background1"/>
                        </w:rPr>
                        <w:t>This means that she has no formal qualifications.</w:t>
                      </w:r>
                    </w:p>
                    <w:p w:rsidR="00FC6704" w:rsidRDefault="00FC6704" w:rsidP="00AE2835">
                      <w:pPr>
                        <w:spacing w:before="240"/>
                        <w:rPr>
                          <w:color w:val="FFFFFF" w:themeColor="background1"/>
                        </w:rPr>
                      </w:pPr>
                      <w:r w:rsidRPr="006011A5">
                        <w:rPr>
                          <w:color w:val="FFFFFF" w:themeColor="background1"/>
                        </w:rPr>
                        <w:t>Now that her children have left home, she has joined the home and community health sector because she wants to use her life experience and caring nature within her own community.</w:t>
                      </w:r>
                    </w:p>
                    <w:p w:rsidR="00FC6704" w:rsidRDefault="00FC6704" w:rsidP="00AE2835">
                      <w:pPr>
                        <w:spacing w:before="240"/>
                        <w:rPr>
                          <w:color w:val="FFFFFF" w:themeColor="background1"/>
                        </w:rPr>
                      </w:pPr>
                      <w:r w:rsidRPr="006011A5">
                        <w:rPr>
                          <w:color w:val="FFFFFF" w:themeColor="background1"/>
                        </w:rPr>
                        <w:t>Penny loves her job and the people she supports; she knows she makes a real difference.</w:t>
                      </w:r>
                      <w:r>
                        <w:rPr>
                          <w:color w:val="FFFFFF" w:themeColor="background1"/>
                        </w:rPr>
                        <w:t xml:space="preserve"> </w:t>
                      </w:r>
                      <w:r w:rsidRPr="006011A5">
                        <w:rPr>
                          <w:color w:val="FFFFFF" w:themeColor="background1"/>
                        </w:rPr>
                        <w:t>Her employer tries to give her the same clients each week but sometimes she is asked to support people she hasn</w:t>
                      </w:r>
                      <w:r>
                        <w:rPr>
                          <w:color w:val="FFFFFF" w:themeColor="background1"/>
                        </w:rPr>
                        <w:t>’</w:t>
                      </w:r>
                      <w:r w:rsidRPr="006011A5">
                        <w:rPr>
                          <w:color w:val="FFFFFF" w:themeColor="background1"/>
                        </w:rPr>
                        <w:t>t met and this can be really challenging as she doesn</w:t>
                      </w:r>
                      <w:r>
                        <w:rPr>
                          <w:color w:val="FFFFFF" w:themeColor="background1"/>
                        </w:rPr>
                        <w:t>’</w:t>
                      </w:r>
                      <w:r w:rsidRPr="006011A5">
                        <w:rPr>
                          <w:color w:val="FFFFFF" w:themeColor="background1"/>
                        </w:rPr>
                        <w:t>t always know what the client likes.</w:t>
                      </w:r>
                    </w:p>
                    <w:p w:rsidR="00FC6704" w:rsidRDefault="00FC6704" w:rsidP="00AE2835">
                      <w:pPr>
                        <w:spacing w:before="240"/>
                        <w:rPr>
                          <w:color w:val="FFFFFF" w:themeColor="background1"/>
                        </w:rPr>
                      </w:pPr>
                      <w:r w:rsidRPr="006011A5">
                        <w:rPr>
                          <w:color w:val="FFFFFF" w:themeColor="background1"/>
                        </w:rPr>
                        <w:t>Penny understands why her hours move up and down every week but really wishes they didn</w:t>
                      </w:r>
                      <w:r>
                        <w:rPr>
                          <w:color w:val="FFFFFF" w:themeColor="background1"/>
                        </w:rPr>
                        <w:t>’</w:t>
                      </w:r>
                      <w:r w:rsidRPr="006011A5">
                        <w:rPr>
                          <w:color w:val="FFFFFF" w:themeColor="background1"/>
                        </w:rPr>
                        <w:t>t.</w:t>
                      </w:r>
                      <w:r>
                        <w:rPr>
                          <w:color w:val="FFFFFF" w:themeColor="background1"/>
                        </w:rPr>
                        <w:t xml:space="preserve"> </w:t>
                      </w:r>
                      <w:r w:rsidRPr="006011A5">
                        <w:rPr>
                          <w:color w:val="FFFFFF" w:themeColor="background1"/>
                        </w:rPr>
                        <w:t>She finds it really hard when her hours reduce because she gets less money that week.</w:t>
                      </w:r>
                      <w:r>
                        <w:rPr>
                          <w:color w:val="FFFFFF" w:themeColor="background1"/>
                        </w:rPr>
                        <w:t xml:space="preserve"> </w:t>
                      </w:r>
                      <w:r w:rsidRPr="006011A5">
                        <w:rPr>
                          <w:color w:val="FFFFFF" w:themeColor="background1"/>
                        </w:rPr>
                        <w:t>It makes a real difference when petrol prices rise quickly or something unexpected happens like when her car broke down last week.</w:t>
                      </w:r>
                      <w:r>
                        <w:rPr>
                          <w:color w:val="FFFFFF" w:themeColor="background1"/>
                        </w:rPr>
                        <w:t xml:space="preserve"> </w:t>
                      </w:r>
                      <w:r w:rsidRPr="006011A5">
                        <w:rPr>
                          <w:color w:val="FFFFFF" w:themeColor="background1"/>
                        </w:rPr>
                        <w:t>She has also noticed that it</w:t>
                      </w:r>
                      <w:r>
                        <w:rPr>
                          <w:color w:val="FFFFFF" w:themeColor="background1"/>
                        </w:rPr>
                        <w:t>’</w:t>
                      </w:r>
                      <w:r w:rsidRPr="006011A5">
                        <w:rPr>
                          <w:color w:val="FFFFFF" w:themeColor="background1"/>
                        </w:rPr>
                        <w:t>s a lot harder to get things on hire purchase when you can</w:t>
                      </w:r>
                      <w:r>
                        <w:rPr>
                          <w:color w:val="FFFFFF" w:themeColor="background1"/>
                        </w:rPr>
                        <w:t>’</w:t>
                      </w:r>
                      <w:r w:rsidRPr="006011A5">
                        <w:rPr>
                          <w:color w:val="FFFFFF" w:themeColor="background1"/>
                        </w:rPr>
                        <w:t>t say for sure what your income is.</w:t>
                      </w:r>
                    </w:p>
                    <w:p w:rsidR="00FC6704" w:rsidRPr="003C6AF7" w:rsidRDefault="00FC6704" w:rsidP="00AE2835">
                      <w:pPr>
                        <w:spacing w:before="240"/>
                        <w:rPr>
                          <w:color w:val="FFFFFF" w:themeColor="background1"/>
                        </w:rPr>
                      </w:pPr>
                      <w:r w:rsidRPr="003C6AF7">
                        <w:rPr>
                          <w:color w:val="FFFFFF" w:themeColor="background1"/>
                        </w:rPr>
                        <w:t>This story helps illustrate that the majority of Support Workers:</w:t>
                      </w:r>
                    </w:p>
                    <w:p w:rsidR="00FC6704" w:rsidRPr="006011A5" w:rsidRDefault="00FC6704" w:rsidP="003C6AF7">
                      <w:pPr>
                        <w:pStyle w:val="Bullet"/>
                        <w:spacing w:before="60"/>
                        <w:rPr>
                          <w:color w:val="FFFFFF" w:themeColor="background1"/>
                        </w:rPr>
                      </w:pPr>
                      <w:r w:rsidRPr="006011A5">
                        <w:rPr>
                          <w:color w:val="FFFFFF" w:themeColor="background1"/>
                        </w:rPr>
                        <w:t>are women, over the age of 45 with no qualifications.</w:t>
                      </w:r>
                    </w:p>
                    <w:p w:rsidR="00FC6704" w:rsidRPr="006011A5" w:rsidRDefault="00FC6704" w:rsidP="003C6AF7">
                      <w:pPr>
                        <w:pStyle w:val="Bullet"/>
                        <w:spacing w:before="60"/>
                        <w:rPr>
                          <w:color w:val="FFFFFF" w:themeColor="background1"/>
                        </w:rPr>
                      </w:pPr>
                      <w:r w:rsidRPr="006011A5">
                        <w:rPr>
                          <w:color w:val="FFFFFF" w:themeColor="background1"/>
                        </w:rPr>
                        <w:t>find the prospect of gaining a qualification challenging</w:t>
                      </w:r>
                    </w:p>
                    <w:p w:rsidR="00FC6704" w:rsidRPr="006011A5" w:rsidRDefault="00FC6704" w:rsidP="003C6AF7">
                      <w:pPr>
                        <w:pStyle w:val="Bullet"/>
                        <w:spacing w:before="60"/>
                        <w:rPr>
                          <w:color w:val="FFFFFF" w:themeColor="background1"/>
                        </w:rPr>
                      </w:pPr>
                      <w:r w:rsidRPr="006011A5">
                        <w:rPr>
                          <w:color w:val="FFFFFF" w:themeColor="background1"/>
                        </w:rPr>
                        <w:t>have the right values and attitude to support and provide services within the community.</w:t>
                      </w:r>
                    </w:p>
                  </w:txbxContent>
                </v:textbox>
                <w10:anchorlock/>
              </v:roundrect>
            </w:pict>
          </mc:Fallback>
        </mc:AlternateContent>
      </w:r>
    </w:p>
    <w:p w:rsidR="006011A5" w:rsidRPr="003E7106" w:rsidRDefault="006011A5" w:rsidP="006011A5">
      <w:pPr>
        <w:pStyle w:val="TableText"/>
        <w:spacing w:before="0" w:after="240"/>
        <w:jc w:val="center"/>
        <w:rPr>
          <w:b/>
          <w:color w:val="365F91"/>
          <w:sz w:val="24"/>
        </w:rPr>
      </w:pPr>
      <w:r w:rsidRPr="003E7106">
        <w:br w:type="column"/>
      </w:r>
      <w:r w:rsidRPr="003E7106">
        <w:rPr>
          <w:b/>
          <w:color w:val="365F91"/>
          <w:sz w:val="24"/>
        </w:rPr>
        <w:t>Case studies: future state</w:t>
      </w:r>
    </w:p>
    <w:p w:rsidR="006011A5" w:rsidRPr="003E7106" w:rsidRDefault="006011A5" w:rsidP="006011A5">
      <w:pPr>
        <w:pStyle w:val="TableText"/>
      </w:pPr>
      <w:r w:rsidRPr="003E7106">
        <w:rPr>
          <w:noProof/>
          <w:lang w:eastAsia="en-NZ"/>
        </w:rPr>
        <mc:AlternateContent>
          <mc:Choice Requires="wps">
            <w:drawing>
              <wp:inline distT="0" distB="0" distL="0" distR="0" wp14:anchorId="1583FD58" wp14:editId="039AE327">
                <wp:extent cx="4380807" cy="5660390"/>
                <wp:effectExtent l="0" t="0" r="20320" b="16510"/>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0807" cy="5660390"/>
                        </a:xfrm>
                        <a:prstGeom prst="roundRect">
                          <a:avLst>
                            <a:gd name="adj" fmla="val 10587"/>
                          </a:avLst>
                        </a:prstGeom>
                        <a:solidFill>
                          <a:srgbClr val="4F81BD"/>
                        </a:solidFill>
                        <a:ln w="25400" cap="flat" cmpd="sng" algn="ctr">
                          <a:solidFill>
                            <a:srgbClr val="4F81BD">
                              <a:shade val="50000"/>
                            </a:srgbClr>
                          </a:solidFill>
                          <a:prstDash val="solid"/>
                        </a:ln>
                        <a:effectLst/>
                      </wps:spPr>
                      <wps:txbx>
                        <w:txbxContent>
                          <w:p w:rsidR="00FC6704" w:rsidRPr="006011A5" w:rsidRDefault="00FC6704" w:rsidP="006011A5">
                            <w:pPr>
                              <w:spacing w:after="240" w:line="240" w:lineRule="auto"/>
                              <w:jc w:val="center"/>
                              <w:rPr>
                                <w:b/>
                                <w:color w:val="FFFFFF"/>
                                <w:sz w:val="24"/>
                                <w:szCs w:val="18"/>
                              </w:rPr>
                            </w:pPr>
                            <w:r w:rsidRPr="006011A5">
                              <w:rPr>
                                <w:b/>
                                <w:color w:val="FFFFFF"/>
                                <w:sz w:val="24"/>
                                <w:szCs w:val="18"/>
                              </w:rPr>
                              <w:t>Support Worker story</w:t>
                            </w:r>
                          </w:p>
                          <w:p w:rsidR="00FC6704" w:rsidRDefault="00FC6704" w:rsidP="006011A5">
                            <w:pPr>
                              <w:rPr>
                                <w:color w:val="FFFFFF" w:themeColor="background1"/>
                              </w:rPr>
                            </w:pPr>
                            <w:r w:rsidRPr="006011A5">
                              <w:rPr>
                                <w:color w:val="FFFFFF" w:themeColor="background1"/>
                              </w:rPr>
                              <w:t>Penny loves her job.</w:t>
                            </w:r>
                            <w:r>
                              <w:rPr>
                                <w:color w:val="FFFFFF" w:themeColor="background1"/>
                              </w:rPr>
                              <w:t xml:space="preserve"> </w:t>
                            </w:r>
                            <w:r w:rsidRPr="006011A5">
                              <w:rPr>
                                <w:color w:val="FFFFFF" w:themeColor="background1"/>
                              </w:rPr>
                              <w:t>She still thinks of herself as a practical person but is proud of her level 3 certificate and knows she is just as qualified as the young ones coming into the business.</w:t>
                            </w:r>
                            <w:r>
                              <w:rPr>
                                <w:color w:val="FFFFFF" w:themeColor="background1"/>
                              </w:rPr>
                              <w:t xml:space="preserve"> </w:t>
                            </w:r>
                            <w:r w:rsidRPr="006011A5">
                              <w:rPr>
                                <w:color w:val="FFFFFF" w:themeColor="background1"/>
                              </w:rPr>
                              <w:t>The extra money that comes with being qualified helps as well.</w:t>
                            </w:r>
                          </w:p>
                          <w:p w:rsidR="00FC6704" w:rsidRDefault="00FC6704" w:rsidP="003C6AF7">
                            <w:pPr>
                              <w:spacing w:before="120"/>
                              <w:rPr>
                                <w:color w:val="FFFFFF" w:themeColor="background1"/>
                              </w:rPr>
                            </w:pPr>
                            <w:r w:rsidRPr="006011A5">
                              <w:rPr>
                                <w:color w:val="FFFFFF" w:themeColor="background1"/>
                              </w:rPr>
                              <w:t>She really appreciates the support her employer gave her when she finally decided she would give studying a go.</w:t>
                            </w:r>
                            <w:r>
                              <w:rPr>
                                <w:color w:val="FFFFFF" w:themeColor="background1"/>
                              </w:rPr>
                              <w:t xml:space="preserve"> </w:t>
                            </w:r>
                            <w:r w:rsidRPr="006011A5">
                              <w:rPr>
                                <w:color w:val="FFFFFF" w:themeColor="background1"/>
                              </w:rPr>
                              <w:t>She got paid for her time, had a colleague who had done the course available to help with anything she was unsure of and, best of all, most of the course involved on-the-job assessments and not classroom learning.</w:t>
                            </w:r>
                            <w:r>
                              <w:rPr>
                                <w:color w:val="FFFFFF" w:themeColor="background1"/>
                              </w:rPr>
                              <w:t xml:space="preserve"> </w:t>
                            </w:r>
                            <w:r w:rsidRPr="006011A5">
                              <w:rPr>
                                <w:color w:val="FFFFFF" w:themeColor="background1"/>
                              </w:rPr>
                              <w:t>She can</w:t>
                            </w:r>
                            <w:r>
                              <w:rPr>
                                <w:color w:val="FFFFFF" w:themeColor="background1"/>
                              </w:rPr>
                              <w:t>’</w:t>
                            </w:r>
                            <w:r w:rsidRPr="006011A5">
                              <w:rPr>
                                <w:color w:val="FFFFFF" w:themeColor="background1"/>
                              </w:rPr>
                              <w:t>t wait for there to be enough clients to justify doing the Level 4 certificate – her employer has already said that she</w:t>
                            </w:r>
                            <w:r>
                              <w:rPr>
                                <w:color w:val="FFFFFF" w:themeColor="background1"/>
                              </w:rPr>
                              <w:t>’</w:t>
                            </w:r>
                            <w:r w:rsidRPr="006011A5">
                              <w:rPr>
                                <w:color w:val="FFFFFF" w:themeColor="background1"/>
                              </w:rPr>
                              <w:t>s the next one they</w:t>
                            </w:r>
                            <w:r>
                              <w:rPr>
                                <w:color w:val="FFFFFF" w:themeColor="background1"/>
                              </w:rPr>
                              <w:t>’</w:t>
                            </w:r>
                            <w:r w:rsidRPr="006011A5">
                              <w:rPr>
                                <w:color w:val="FFFFFF" w:themeColor="background1"/>
                              </w:rPr>
                              <w:t>ll put through the course.</w:t>
                            </w:r>
                          </w:p>
                          <w:p w:rsidR="00FC6704" w:rsidRDefault="00FC6704" w:rsidP="003C6AF7">
                            <w:pPr>
                              <w:spacing w:before="120"/>
                              <w:rPr>
                                <w:color w:val="FFFFFF" w:themeColor="background1"/>
                              </w:rPr>
                            </w:pPr>
                            <w:r w:rsidRPr="006011A5">
                              <w:rPr>
                                <w:color w:val="FFFFFF" w:themeColor="background1"/>
                              </w:rPr>
                              <w:t>Penny is a valued team member and enjoys the weekly team meetings and exchanging knowledge and experiences with the other team members.</w:t>
                            </w:r>
                            <w:r>
                              <w:rPr>
                                <w:color w:val="FFFFFF" w:themeColor="background1"/>
                              </w:rPr>
                              <w:t xml:space="preserve"> </w:t>
                            </w:r>
                            <w:r w:rsidRPr="006011A5">
                              <w:rPr>
                                <w:color w:val="FFFFFF" w:themeColor="background1"/>
                              </w:rPr>
                              <w:t>She knows so many clients who benefit from what she and others learn from these weekly discussions.</w:t>
                            </w:r>
                            <w:r>
                              <w:rPr>
                                <w:color w:val="FFFFFF" w:themeColor="background1"/>
                              </w:rPr>
                              <w:t xml:space="preserve"> </w:t>
                            </w:r>
                            <w:r w:rsidRPr="006011A5">
                              <w:rPr>
                                <w:color w:val="FFFFFF" w:themeColor="background1"/>
                              </w:rPr>
                              <w:t>She also knows clients gain a lot more from the support they get now to help them achieve their goals than they ever did from having their oven cleaned every second week.</w:t>
                            </w:r>
                            <w:r>
                              <w:rPr>
                                <w:color w:val="FFFFFF" w:themeColor="background1"/>
                              </w:rPr>
                              <w:t xml:space="preserve"> </w:t>
                            </w:r>
                            <w:r w:rsidRPr="006011A5">
                              <w:rPr>
                                <w:color w:val="FFFFFF" w:themeColor="background1"/>
                              </w:rPr>
                              <w:t>She still has to clean an oven every now and then, but is glad that much more of her time is focused on delivering what her clients need to be active in their home and wider community.</w:t>
                            </w:r>
                          </w:p>
                          <w:p w:rsidR="00FC6704" w:rsidRDefault="00FC6704" w:rsidP="003C6AF7">
                            <w:pPr>
                              <w:spacing w:before="120"/>
                              <w:rPr>
                                <w:color w:val="FFFFFF" w:themeColor="background1"/>
                              </w:rPr>
                            </w:pPr>
                            <w:r w:rsidRPr="006011A5">
                              <w:rPr>
                                <w:color w:val="FFFFFF" w:themeColor="background1"/>
                              </w:rPr>
                              <w:t>Penny is still sometimes asked to support people she hasn</w:t>
                            </w:r>
                            <w:r>
                              <w:rPr>
                                <w:color w:val="FFFFFF" w:themeColor="background1"/>
                              </w:rPr>
                              <w:t>’</w:t>
                            </w:r>
                            <w:r w:rsidRPr="006011A5">
                              <w:rPr>
                                <w:color w:val="FFFFFF" w:themeColor="background1"/>
                              </w:rPr>
                              <w:t>t met and knows this will happen from time to time because her employer makes sure there is work for her to do in her guaranteed hours.</w:t>
                            </w:r>
                            <w:r>
                              <w:rPr>
                                <w:color w:val="FFFFFF" w:themeColor="background1"/>
                              </w:rPr>
                              <w:t xml:space="preserve"> </w:t>
                            </w:r>
                            <w:r w:rsidRPr="006011A5">
                              <w:rPr>
                                <w:color w:val="FFFFFF" w:themeColor="background1"/>
                              </w:rPr>
                              <w:t>It</w:t>
                            </w:r>
                            <w:r>
                              <w:rPr>
                                <w:color w:val="FFFFFF" w:themeColor="background1"/>
                              </w:rPr>
                              <w:t>’</w:t>
                            </w:r>
                            <w:r w:rsidRPr="006011A5">
                              <w:rPr>
                                <w:color w:val="FFFFFF" w:themeColor="background1"/>
                              </w:rPr>
                              <w:t>s still a bit challenging but it is much easier with the handover notes and discussion on ca</w:t>
                            </w:r>
                            <w:r>
                              <w:rPr>
                                <w:color w:val="FFFFFF" w:themeColor="background1"/>
                              </w:rPr>
                              <w:t>re plans with her supervisor.</w:t>
                            </w:r>
                          </w:p>
                          <w:p w:rsidR="00FC6704" w:rsidRDefault="00FC6704" w:rsidP="003C6AF7">
                            <w:pPr>
                              <w:spacing w:before="120"/>
                              <w:rPr>
                                <w:color w:val="FFFFFF" w:themeColor="background1"/>
                              </w:rPr>
                            </w:pPr>
                            <w:r w:rsidRPr="006011A5">
                              <w:rPr>
                                <w:color w:val="FFFFFF" w:themeColor="background1"/>
                              </w:rPr>
                              <w:t>Penny has encouraged her son and a couple of friends to become Support Workers.</w:t>
                            </w:r>
                            <w:r>
                              <w:rPr>
                                <w:color w:val="FFFFFF" w:themeColor="background1"/>
                              </w:rPr>
                              <w:t xml:space="preserve"> </w:t>
                            </w:r>
                            <w:r w:rsidRPr="006011A5">
                              <w:rPr>
                                <w:color w:val="FFFFFF" w:themeColor="background1"/>
                              </w:rPr>
                              <w:t>She knows it</w:t>
                            </w:r>
                            <w:r>
                              <w:rPr>
                                <w:color w:val="FFFFFF" w:themeColor="background1"/>
                              </w:rPr>
                              <w:t>’</w:t>
                            </w:r>
                            <w:r w:rsidRPr="006011A5">
                              <w:rPr>
                                <w:color w:val="FFFFFF" w:themeColor="background1"/>
                              </w:rPr>
                              <w:t>s a good career and getting qualified will help her brother</w:t>
                            </w:r>
                            <w:r>
                              <w:rPr>
                                <w:color w:val="FFFFFF" w:themeColor="background1"/>
                              </w:rPr>
                              <w:t>’</w:t>
                            </w:r>
                            <w:r w:rsidRPr="006011A5">
                              <w:rPr>
                                <w:color w:val="FFFFFF" w:themeColor="background1"/>
                              </w:rPr>
                              <w:t>s boy get into nursing.</w:t>
                            </w:r>
                          </w:p>
                          <w:p w:rsidR="00FC6704" w:rsidRPr="003C6AF7" w:rsidRDefault="00FC6704" w:rsidP="003C6AF7">
                            <w:pPr>
                              <w:spacing w:before="120"/>
                              <w:rPr>
                                <w:color w:val="FFFFFF" w:themeColor="background1"/>
                              </w:rPr>
                            </w:pPr>
                            <w:r w:rsidRPr="003C6AF7">
                              <w:rPr>
                                <w:color w:val="FFFFFF" w:themeColor="background1"/>
                              </w:rPr>
                              <w:t>This story illustrates that regularising the Support workforce will mean:</w:t>
                            </w:r>
                          </w:p>
                          <w:p w:rsidR="00FC6704" w:rsidRPr="003C6AF7" w:rsidRDefault="00FC6704" w:rsidP="003C6AF7">
                            <w:pPr>
                              <w:pStyle w:val="Bullet"/>
                              <w:spacing w:before="60"/>
                              <w:rPr>
                                <w:color w:val="FFFFFF" w:themeColor="background1"/>
                              </w:rPr>
                            </w:pPr>
                            <w:r w:rsidRPr="003C6AF7">
                              <w:rPr>
                                <w:color w:val="FFFFFF" w:themeColor="background1"/>
                              </w:rPr>
                              <w:t>a different demographic of worker wi</w:t>
                            </w:r>
                            <w:r>
                              <w:rPr>
                                <w:color w:val="FFFFFF" w:themeColor="background1"/>
                              </w:rPr>
                              <w:t>ll be attracted into the sector</w:t>
                            </w:r>
                          </w:p>
                          <w:p w:rsidR="00FC6704" w:rsidRPr="003C6AF7" w:rsidRDefault="00FC6704" w:rsidP="003C6AF7">
                            <w:pPr>
                              <w:pStyle w:val="Bullet"/>
                              <w:spacing w:before="60"/>
                              <w:rPr>
                                <w:color w:val="FFFFFF" w:themeColor="background1"/>
                              </w:rPr>
                            </w:pPr>
                            <w:r w:rsidRPr="003C6AF7">
                              <w:rPr>
                                <w:color w:val="FFFFFF" w:themeColor="background1"/>
                              </w:rPr>
                              <w:t>increased benefits to the client, Support Worker and community</w:t>
                            </w:r>
                          </w:p>
                          <w:p w:rsidR="00FC6704" w:rsidRPr="003C6AF7" w:rsidRDefault="00FC6704" w:rsidP="003C6AF7">
                            <w:pPr>
                              <w:pStyle w:val="Bullet"/>
                              <w:spacing w:before="60"/>
                              <w:rPr>
                                <w:color w:val="FFFFFF" w:themeColor="background1"/>
                              </w:rPr>
                            </w:pPr>
                            <w:r w:rsidRPr="003C6AF7">
                              <w:rPr>
                                <w:color w:val="FFFFFF" w:themeColor="background1"/>
                              </w:rPr>
                              <w:t>new ways of working across the sector.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id="Rounded Rectangle 3" o:spid="_x0000_s1027" style="width:344.95pt;height:445.7pt;visibility:visible;mso-wrap-style:square;mso-left-percent:-10001;mso-top-percent:-10001;mso-position-horizontal:absolute;mso-position-horizontal-relative:char;mso-position-vertical:absolute;mso-position-vertical-relative:line;mso-left-percent:-10001;mso-top-percent:-10001;v-text-anchor:top" arcsize="69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" fillcolor="#4f81bd" strokecolor="#385d8a" strokeweight="2pt">
                <v:path arrowok="t"/>
                <v:textbox>
                  <w:txbxContent>
                    <w:p w:rsidR="00FC6704" w:rsidRPr="006011A5" w:rsidRDefault="00FC6704" w:rsidP="006011A5">
                      <w:pPr>
                        <w:spacing w:after="240" w:line="240" w:lineRule="auto"/>
                        <w:jc w:val="center"/>
                        <w:rPr>
                          <w:b/>
                          <w:color w:val="FFFFFF"/>
                          <w:sz w:val="24"/>
                          <w:szCs w:val="18"/>
                        </w:rPr>
                      </w:pPr>
                      <w:r w:rsidRPr="006011A5">
                        <w:rPr>
                          <w:b/>
                          <w:color w:val="FFFFFF"/>
                          <w:sz w:val="24"/>
                          <w:szCs w:val="18"/>
                        </w:rPr>
                        <w:t>Support Worker story</w:t>
                      </w:r>
                    </w:p>
                    <w:p w:rsidR="00FC6704" w:rsidRDefault="00FC6704" w:rsidP="006011A5">
                      <w:pPr>
                        <w:rPr>
                          <w:color w:val="FFFFFF" w:themeColor="background1"/>
                        </w:rPr>
                      </w:pPr>
                      <w:r w:rsidRPr="006011A5">
                        <w:rPr>
                          <w:color w:val="FFFFFF" w:themeColor="background1"/>
                        </w:rPr>
                        <w:t>Penny loves her job.</w:t>
                      </w:r>
                      <w:r>
                        <w:rPr>
                          <w:color w:val="FFFFFF" w:themeColor="background1"/>
                        </w:rPr>
                        <w:t xml:space="preserve"> </w:t>
                      </w:r>
                      <w:r w:rsidRPr="006011A5">
                        <w:rPr>
                          <w:color w:val="FFFFFF" w:themeColor="background1"/>
                        </w:rPr>
                        <w:t>She still thinks of herself as a practical person but is proud of her level 3 certificate and knows she is just as qualified as the young ones coming into the business.</w:t>
                      </w:r>
                      <w:r>
                        <w:rPr>
                          <w:color w:val="FFFFFF" w:themeColor="background1"/>
                        </w:rPr>
                        <w:t xml:space="preserve"> </w:t>
                      </w:r>
                      <w:r w:rsidRPr="006011A5">
                        <w:rPr>
                          <w:color w:val="FFFFFF" w:themeColor="background1"/>
                        </w:rPr>
                        <w:t>The extra money that comes with being qualified helps as well.</w:t>
                      </w:r>
                    </w:p>
                    <w:p w:rsidR="00FC6704" w:rsidRDefault="00FC6704" w:rsidP="003C6AF7">
                      <w:pPr>
                        <w:spacing w:before="120"/>
                        <w:rPr>
                          <w:color w:val="FFFFFF" w:themeColor="background1"/>
                        </w:rPr>
                      </w:pPr>
                      <w:r w:rsidRPr="006011A5">
                        <w:rPr>
                          <w:color w:val="FFFFFF" w:themeColor="background1"/>
                        </w:rPr>
                        <w:t>She really appreciates the support her employer gave her when she finally decided she would give studying a go.</w:t>
                      </w:r>
                      <w:r>
                        <w:rPr>
                          <w:color w:val="FFFFFF" w:themeColor="background1"/>
                        </w:rPr>
                        <w:t xml:space="preserve"> </w:t>
                      </w:r>
                      <w:r w:rsidRPr="006011A5">
                        <w:rPr>
                          <w:color w:val="FFFFFF" w:themeColor="background1"/>
                        </w:rPr>
                        <w:t>She got paid for her time, had a colleague who had done the course available to help with anything she was unsure of and, best of all, most of the course involved on-the-job assessments and not classroom learning.</w:t>
                      </w:r>
                      <w:r>
                        <w:rPr>
                          <w:color w:val="FFFFFF" w:themeColor="background1"/>
                        </w:rPr>
                        <w:t xml:space="preserve"> </w:t>
                      </w:r>
                      <w:r w:rsidRPr="006011A5">
                        <w:rPr>
                          <w:color w:val="FFFFFF" w:themeColor="background1"/>
                        </w:rPr>
                        <w:t>She can</w:t>
                      </w:r>
                      <w:r>
                        <w:rPr>
                          <w:color w:val="FFFFFF" w:themeColor="background1"/>
                        </w:rPr>
                        <w:t>’</w:t>
                      </w:r>
                      <w:r w:rsidRPr="006011A5">
                        <w:rPr>
                          <w:color w:val="FFFFFF" w:themeColor="background1"/>
                        </w:rPr>
                        <w:t>t wait for there to be enough clients to justify doing the Level 4 certificate – her employer has already said that she</w:t>
                      </w:r>
                      <w:r>
                        <w:rPr>
                          <w:color w:val="FFFFFF" w:themeColor="background1"/>
                        </w:rPr>
                        <w:t>’</w:t>
                      </w:r>
                      <w:r w:rsidRPr="006011A5">
                        <w:rPr>
                          <w:color w:val="FFFFFF" w:themeColor="background1"/>
                        </w:rPr>
                        <w:t>s the next one they</w:t>
                      </w:r>
                      <w:r>
                        <w:rPr>
                          <w:color w:val="FFFFFF" w:themeColor="background1"/>
                        </w:rPr>
                        <w:t>’</w:t>
                      </w:r>
                      <w:r w:rsidRPr="006011A5">
                        <w:rPr>
                          <w:color w:val="FFFFFF" w:themeColor="background1"/>
                        </w:rPr>
                        <w:t>ll put through the course.</w:t>
                      </w:r>
                    </w:p>
                    <w:p w:rsidR="00FC6704" w:rsidRDefault="00FC6704" w:rsidP="003C6AF7">
                      <w:pPr>
                        <w:spacing w:before="120"/>
                        <w:rPr>
                          <w:color w:val="FFFFFF" w:themeColor="background1"/>
                        </w:rPr>
                      </w:pPr>
                      <w:r w:rsidRPr="006011A5">
                        <w:rPr>
                          <w:color w:val="FFFFFF" w:themeColor="background1"/>
                        </w:rPr>
                        <w:t>Penny is a valued team member and enjoys the weekly team meetings and exchanging knowledge and experiences with the other team members.</w:t>
                      </w:r>
                      <w:r>
                        <w:rPr>
                          <w:color w:val="FFFFFF" w:themeColor="background1"/>
                        </w:rPr>
                        <w:t xml:space="preserve"> </w:t>
                      </w:r>
                      <w:r w:rsidRPr="006011A5">
                        <w:rPr>
                          <w:color w:val="FFFFFF" w:themeColor="background1"/>
                        </w:rPr>
                        <w:t>She knows so many clients who benefit from what she and others learn from these weekly discussions.</w:t>
                      </w:r>
                      <w:r>
                        <w:rPr>
                          <w:color w:val="FFFFFF" w:themeColor="background1"/>
                        </w:rPr>
                        <w:t xml:space="preserve"> </w:t>
                      </w:r>
                      <w:r w:rsidRPr="006011A5">
                        <w:rPr>
                          <w:color w:val="FFFFFF" w:themeColor="background1"/>
                        </w:rPr>
                        <w:t>She also knows clients gain a lot more from the support they get now to help them achieve their goals than they ever did from having their oven cleaned every second week.</w:t>
                      </w:r>
                      <w:r>
                        <w:rPr>
                          <w:color w:val="FFFFFF" w:themeColor="background1"/>
                        </w:rPr>
                        <w:t xml:space="preserve"> </w:t>
                      </w:r>
                      <w:r w:rsidRPr="006011A5">
                        <w:rPr>
                          <w:color w:val="FFFFFF" w:themeColor="background1"/>
                        </w:rPr>
                        <w:t>She still has to clean an oven every now and then, but is glad that much more of her time is focused on delivering what her clients need to be active in their home and wider community.</w:t>
                      </w:r>
                    </w:p>
                    <w:p w:rsidR="00FC6704" w:rsidRDefault="00FC6704" w:rsidP="003C6AF7">
                      <w:pPr>
                        <w:spacing w:before="120"/>
                        <w:rPr>
                          <w:color w:val="FFFFFF" w:themeColor="background1"/>
                        </w:rPr>
                      </w:pPr>
                      <w:r w:rsidRPr="006011A5">
                        <w:rPr>
                          <w:color w:val="FFFFFF" w:themeColor="background1"/>
                        </w:rPr>
                        <w:t>Penny is still sometimes asked to support people she hasn</w:t>
                      </w:r>
                      <w:r>
                        <w:rPr>
                          <w:color w:val="FFFFFF" w:themeColor="background1"/>
                        </w:rPr>
                        <w:t>’</w:t>
                      </w:r>
                      <w:r w:rsidRPr="006011A5">
                        <w:rPr>
                          <w:color w:val="FFFFFF" w:themeColor="background1"/>
                        </w:rPr>
                        <w:t>t met and knows this will happen from time to time because her employer makes sure there is work for her to do in her guaranteed hours.</w:t>
                      </w:r>
                      <w:r>
                        <w:rPr>
                          <w:color w:val="FFFFFF" w:themeColor="background1"/>
                        </w:rPr>
                        <w:t xml:space="preserve"> </w:t>
                      </w:r>
                      <w:r w:rsidRPr="006011A5">
                        <w:rPr>
                          <w:color w:val="FFFFFF" w:themeColor="background1"/>
                        </w:rPr>
                        <w:t>It</w:t>
                      </w:r>
                      <w:r>
                        <w:rPr>
                          <w:color w:val="FFFFFF" w:themeColor="background1"/>
                        </w:rPr>
                        <w:t>’</w:t>
                      </w:r>
                      <w:r w:rsidRPr="006011A5">
                        <w:rPr>
                          <w:color w:val="FFFFFF" w:themeColor="background1"/>
                        </w:rPr>
                        <w:t>s still a bit challenging but it is much easier with the handover notes and discussion on ca</w:t>
                      </w:r>
                      <w:r>
                        <w:rPr>
                          <w:color w:val="FFFFFF" w:themeColor="background1"/>
                        </w:rPr>
                        <w:t>re plans with her supervisor.</w:t>
                      </w:r>
                    </w:p>
                    <w:p w:rsidR="00FC6704" w:rsidRDefault="00FC6704" w:rsidP="003C6AF7">
                      <w:pPr>
                        <w:spacing w:before="120"/>
                        <w:rPr>
                          <w:color w:val="FFFFFF" w:themeColor="background1"/>
                        </w:rPr>
                      </w:pPr>
                      <w:r w:rsidRPr="006011A5">
                        <w:rPr>
                          <w:color w:val="FFFFFF" w:themeColor="background1"/>
                        </w:rPr>
                        <w:t>Penny has encouraged her son and a couple of friends to become Support Workers.</w:t>
                      </w:r>
                      <w:r>
                        <w:rPr>
                          <w:color w:val="FFFFFF" w:themeColor="background1"/>
                        </w:rPr>
                        <w:t xml:space="preserve"> </w:t>
                      </w:r>
                      <w:r w:rsidRPr="006011A5">
                        <w:rPr>
                          <w:color w:val="FFFFFF" w:themeColor="background1"/>
                        </w:rPr>
                        <w:t>She knows it</w:t>
                      </w:r>
                      <w:r>
                        <w:rPr>
                          <w:color w:val="FFFFFF" w:themeColor="background1"/>
                        </w:rPr>
                        <w:t>’</w:t>
                      </w:r>
                      <w:r w:rsidRPr="006011A5">
                        <w:rPr>
                          <w:color w:val="FFFFFF" w:themeColor="background1"/>
                        </w:rPr>
                        <w:t>s a good career and getting qualified will help her brother</w:t>
                      </w:r>
                      <w:r>
                        <w:rPr>
                          <w:color w:val="FFFFFF" w:themeColor="background1"/>
                        </w:rPr>
                        <w:t>’</w:t>
                      </w:r>
                      <w:r w:rsidRPr="006011A5">
                        <w:rPr>
                          <w:color w:val="FFFFFF" w:themeColor="background1"/>
                        </w:rPr>
                        <w:t>s boy get into nursing.</w:t>
                      </w:r>
                    </w:p>
                    <w:p w:rsidR="00FC6704" w:rsidRPr="003C6AF7" w:rsidRDefault="00FC6704" w:rsidP="003C6AF7">
                      <w:pPr>
                        <w:spacing w:before="120"/>
                        <w:rPr>
                          <w:color w:val="FFFFFF" w:themeColor="background1"/>
                        </w:rPr>
                      </w:pPr>
                      <w:r w:rsidRPr="003C6AF7">
                        <w:rPr>
                          <w:color w:val="FFFFFF" w:themeColor="background1"/>
                        </w:rPr>
                        <w:t>This story illustrates that regularising the Support workforce will mean:</w:t>
                      </w:r>
                    </w:p>
                    <w:p w:rsidR="00FC6704" w:rsidRPr="003C6AF7" w:rsidRDefault="00FC6704" w:rsidP="003C6AF7">
                      <w:pPr>
                        <w:pStyle w:val="Bullet"/>
                        <w:spacing w:before="60"/>
                        <w:rPr>
                          <w:color w:val="FFFFFF" w:themeColor="background1"/>
                        </w:rPr>
                      </w:pPr>
                      <w:r w:rsidRPr="003C6AF7">
                        <w:rPr>
                          <w:color w:val="FFFFFF" w:themeColor="background1"/>
                        </w:rPr>
                        <w:t>a different demographic of worker wi</w:t>
                      </w:r>
                      <w:r>
                        <w:rPr>
                          <w:color w:val="FFFFFF" w:themeColor="background1"/>
                        </w:rPr>
                        <w:t>ll be attracted into the sector</w:t>
                      </w:r>
                    </w:p>
                    <w:p w:rsidR="00FC6704" w:rsidRPr="003C6AF7" w:rsidRDefault="00FC6704" w:rsidP="003C6AF7">
                      <w:pPr>
                        <w:pStyle w:val="Bullet"/>
                        <w:spacing w:before="60"/>
                        <w:rPr>
                          <w:color w:val="FFFFFF" w:themeColor="background1"/>
                        </w:rPr>
                      </w:pPr>
                      <w:r w:rsidRPr="003C6AF7">
                        <w:rPr>
                          <w:color w:val="FFFFFF" w:themeColor="background1"/>
                        </w:rPr>
                        <w:t>increased benefits to the client, Support Worker and community</w:t>
                      </w:r>
                    </w:p>
                    <w:p w:rsidR="00FC6704" w:rsidRPr="003C6AF7" w:rsidRDefault="00FC6704" w:rsidP="003C6AF7">
                      <w:pPr>
                        <w:pStyle w:val="Bullet"/>
                        <w:spacing w:before="60"/>
                        <w:rPr>
                          <w:color w:val="FFFFFF" w:themeColor="background1"/>
                        </w:rPr>
                      </w:pPr>
                      <w:r w:rsidRPr="003C6AF7">
                        <w:rPr>
                          <w:color w:val="FFFFFF" w:themeColor="background1"/>
                        </w:rPr>
                        <w:t>new ways of working across the sector.</w:t>
                      </w:r>
                    </w:p>
                  </w:txbxContent>
                </v:textbox>
                <w10:anchorlock/>
              </v:roundrect>
            </w:pict>
          </mc:Fallback>
        </mc:AlternateContent>
      </w:r>
    </w:p>
    <w:p w:rsidR="006011A5" w:rsidRPr="003E7106" w:rsidRDefault="006011A5" w:rsidP="006011A5">
      <w:pPr>
        <w:pStyle w:val="TableText"/>
        <w:sectPr w:rsidR="006011A5" w:rsidRPr="003E7106" w:rsidSect="003C6AF7">
          <w:type w:val="continuous"/>
          <w:pgSz w:w="16834" w:h="11907" w:orient="landscape" w:code="9"/>
          <w:pgMar w:top="1134" w:right="1134" w:bottom="1134" w:left="1134" w:header="425" w:footer="425" w:gutter="0"/>
          <w:pgNumType w:start="1"/>
          <w:cols w:num="2" w:space="851"/>
          <w:docGrid w:linePitch="299"/>
        </w:sectPr>
      </w:pPr>
    </w:p>
    <w:p w:rsidR="00AC68E0" w:rsidRPr="003E7106" w:rsidRDefault="00AC68E0" w:rsidP="000A6DB7">
      <w:pPr>
        <w:pStyle w:val="Heading1"/>
      </w:pPr>
      <w:bookmarkStart w:id="2" w:name="_Toc423677655"/>
      <w:bookmarkStart w:id="3" w:name="_Toc426009378"/>
      <w:r w:rsidRPr="003E7106">
        <w:t>About this document</w:t>
      </w:r>
      <w:bookmarkEnd w:id="2"/>
      <w:bookmarkEnd w:id="3"/>
    </w:p>
    <w:tbl>
      <w:tblPr>
        <w:tblW w:w="14601" w:type="dxa"/>
        <w:tblInd w:w="108" w:type="dxa"/>
        <w:tblLayout w:type="fixed"/>
        <w:tblLook w:val="04A0" w:firstRow="1" w:lastRow="0" w:firstColumn="1" w:lastColumn="0" w:noHBand="0" w:noVBand="1"/>
      </w:tblPr>
      <w:tblGrid>
        <w:gridCol w:w="2268"/>
        <w:gridCol w:w="12333"/>
      </w:tblGrid>
      <w:tr w:rsidR="00AC68E0" w:rsidRPr="003E7106" w:rsidTr="000A6DB7">
        <w:trPr>
          <w:cantSplit/>
          <w:tblHeader/>
        </w:trPr>
        <w:tc>
          <w:tcPr>
            <w:tcW w:w="2268" w:type="dxa"/>
            <w:shd w:val="clear" w:color="auto" w:fill="1F497D" w:themeFill="text2"/>
          </w:tcPr>
          <w:p w:rsidR="00AE2835" w:rsidRPr="003E7106" w:rsidRDefault="00AE2835" w:rsidP="00AC68E0">
            <w:pPr>
              <w:pStyle w:val="TableText"/>
              <w:rPr>
                <w:b/>
                <w:color w:val="FFFFFF" w:themeColor="background1"/>
              </w:rPr>
            </w:pPr>
            <w:r w:rsidRPr="003E7106">
              <w:rPr>
                <w:b/>
                <w:color w:val="FFFFFF" w:themeColor="background1"/>
              </w:rPr>
              <w:t>Area</w:t>
            </w:r>
          </w:p>
        </w:tc>
        <w:tc>
          <w:tcPr>
            <w:tcW w:w="12333" w:type="dxa"/>
            <w:shd w:val="clear" w:color="auto" w:fill="1F497D" w:themeFill="text2"/>
          </w:tcPr>
          <w:p w:rsidR="00AE2835" w:rsidRPr="003E7106" w:rsidRDefault="00AE2835" w:rsidP="00AC68E0">
            <w:pPr>
              <w:pStyle w:val="TableText"/>
              <w:rPr>
                <w:b/>
                <w:color w:val="FFFFFF" w:themeColor="background1"/>
              </w:rPr>
            </w:pPr>
            <w:r w:rsidRPr="003E7106">
              <w:rPr>
                <w:b/>
                <w:color w:val="FFFFFF" w:themeColor="background1"/>
              </w:rPr>
              <w:t>Key observations</w:t>
            </w:r>
          </w:p>
        </w:tc>
      </w:tr>
      <w:tr w:rsidR="00AE2835" w:rsidRPr="003E7106" w:rsidTr="000A6DB7">
        <w:trPr>
          <w:cantSplit/>
        </w:trPr>
        <w:tc>
          <w:tcPr>
            <w:tcW w:w="2268" w:type="dxa"/>
            <w:shd w:val="clear" w:color="auto" w:fill="B8CCE4" w:themeFill="accent1" w:themeFillTint="66"/>
          </w:tcPr>
          <w:p w:rsidR="00AE2835" w:rsidRPr="003E7106" w:rsidRDefault="00AE2835" w:rsidP="00AC68E0">
            <w:pPr>
              <w:pStyle w:val="Heading2"/>
              <w:rPr>
                <w:color w:val="404040"/>
                <w:sz w:val="22"/>
                <w:szCs w:val="22"/>
              </w:rPr>
            </w:pPr>
            <w:bookmarkStart w:id="4" w:name="_Toc423677656"/>
            <w:bookmarkStart w:id="5" w:name="_Toc426009379"/>
            <w:r w:rsidRPr="003E7106">
              <w:t>In-between Travel Settlement Agreement</w:t>
            </w:r>
            <w:bookmarkEnd w:id="4"/>
            <w:bookmarkEnd w:id="5"/>
          </w:p>
        </w:tc>
        <w:tc>
          <w:tcPr>
            <w:tcW w:w="12333" w:type="dxa"/>
            <w:shd w:val="clear" w:color="auto" w:fill="auto"/>
          </w:tcPr>
          <w:p w:rsidR="00AE2835" w:rsidRPr="003E7106" w:rsidRDefault="00AE2835" w:rsidP="00AC68E0">
            <w:pPr>
              <w:pStyle w:val="TableText"/>
              <w:rPr>
                <w:rFonts w:cs="Arial"/>
              </w:rPr>
            </w:pPr>
            <w:r w:rsidRPr="003E7106">
              <w:rPr>
                <w:rFonts w:cs="Arial"/>
              </w:rPr>
              <w:t>In 2014 the providers, employees and funders of home and community support services (HCSS) agreed that from I July 2015 Support Workers would be paid for the time they spend travelling between clients at a rate based on the Minimum Wage. The In-between Travel Settlement Agreement (the Settlement Agreement)</w:t>
            </w:r>
            <w:r w:rsidRPr="003E7106">
              <w:rPr>
                <w:rStyle w:val="FootnoteReference"/>
              </w:rPr>
              <w:footnoteReference w:id="1"/>
            </w:r>
            <w:r w:rsidRPr="003E7106">
              <w:rPr>
                <w:rFonts w:cs="Arial"/>
              </w:rPr>
              <w:t xml:space="preserve"> between the parties also provided </w:t>
            </w:r>
            <w:r w:rsidR="004A0974" w:rsidRPr="003E7106">
              <w:rPr>
                <w:rFonts w:cs="Arial"/>
              </w:rPr>
              <w:t>for a minimum travel allowance.</w:t>
            </w:r>
          </w:p>
          <w:p w:rsidR="00AE2835" w:rsidRPr="003E7106" w:rsidRDefault="00AE2835" w:rsidP="00AC68E0">
            <w:pPr>
              <w:pStyle w:val="TableText"/>
              <w:rPr>
                <w:rFonts w:cs="Arial"/>
              </w:rPr>
            </w:pPr>
            <w:r w:rsidRPr="003E7106">
              <w:rPr>
                <w:rFonts w:cs="Arial"/>
              </w:rPr>
              <w:t>Settlement Agreement negotiations led to discussions about the sustainability of the HCSS model of service delivery under the current employment model. As a result, the parties agreed to investigate the impact and affordability of a sustainable, regularised workforce. A Director-General</w:t>
            </w:r>
            <w:r w:rsidR="0082259D" w:rsidRPr="003E7106">
              <w:rPr>
                <w:rFonts w:cs="Arial"/>
              </w:rPr>
              <w:t>’</w:t>
            </w:r>
            <w:r w:rsidRPr="003E7106">
              <w:rPr>
                <w:rFonts w:cs="Arial"/>
              </w:rPr>
              <w:t>s Reference Group was established to conduct a review of Vote: Health-funded HCSS (the first work stream), and to report on the impact and affordability of transitioning to a regularised workforce within two years of ratification of the Settlement Agreement (the second work stream).</w:t>
            </w:r>
          </w:p>
          <w:p w:rsidR="00AE2835" w:rsidRPr="003E7106" w:rsidRDefault="00AE2835" w:rsidP="00AC68E0">
            <w:pPr>
              <w:pStyle w:val="TableText"/>
              <w:rPr>
                <w:rFonts w:cs="Arial"/>
              </w:rPr>
            </w:pPr>
            <w:r w:rsidRPr="003E7106">
              <w:rPr>
                <w:rFonts w:cs="Arial"/>
              </w:rPr>
              <w:t xml:space="preserve">A </w:t>
            </w:r>
            <w:r w:rsidR="0082259D" w:rsidRPr="003E7106">
              <w:rPr>
                <w:rFonts w:cs="Arial"/>
              </w:rPr>
              <w:t>‘</w:t>
            </w:r>
            <w:r w:rsidRPr="003E7106">
              <w:rPr>
                <w:rFonts w:cs="Arial"/>
              </w:rPr>
              <w:t>regularised</w:t>
            </w:r>
            <w:r w:rsidR="0082259D" w:rsidRPr="003E7106">
              <w:rPr>
                <w:rFonts w:cs="Arial"/>
              </w:rPr>
              <w:t>’</w:t>
            </w:r>
            <w:r w:rsidRPr="003E7106">
              <w:rPr>
                <w:rFonts w:cs="Arial"/>
              </w:rPr>
              <w:t xml:space="preserve"> workforce was described by the Settlement Agreement parties as one that provides:</w:t>
            </w:r>
          </w:p>
          <w:p w:rsidR="00AE2835" w:rsidRPr="003E7106" w:rsidRDefault="00AE2835" w:rsidP="006A303A">
            <w:pPr>
              <w:pStyle w:val="TableBullet"/>
              <w:ind w:left="284"/>
            </w:pPr>
            <w:r w:rsidRPr="003E7106">
              <w:t>guaranteed hours for the majority of the workforce</w:t>
            </w:r>
          </w:p>
          <w:p w:rsidR="00AE2835" w:rsidRPr="003E7106" w:rsidRDefault="00AE2835" w:rsidP="006A303A">
            <w:pPr>
              <w:pStyle w:val="TableBullet"/>
              <w:ind w:left="284"/>
            </w:pPr>
            <w:r w:rsidRPr="003E7106">
              <w:t>paid training to enable Support Workers to gain Level 3 New Zealand Certificate qualifications</w:t>
            </w:r>
          </w:p>
          <w:p w:rsidR="00AE2835" w:rsidRPr="003E7106" w:rsidRDefault="00AE2835" w:rsidP="006A303A">
            <w:pPr>
              <w:pStyle w:val="TableBullet"/>
              <w:ind w:left="284"/>
            </w:pPr>
            <w:r w:rsidRPr="003E7106">
              <w:t>wages based on the required levels of training for Support Workers</w:t>
            </w:r>
          </w:p>
          <w:p w:rsidR="00AE2835" w:rsidRPr="003E7106" w:rsidRDefault="00AE2835" w:rsidP="006A303A">
            <w:pPr>
              <w:pStyle w:val="TableBullet"/>
              <w:ind w:left="284"/>
            </w:pPr>
            <w:r w:rsidRPr="003E7106">
              <w:t>a case-load and case-mix workload mechanism to ensure a fair and safe allocation of clients to Support Workers.</w:t>
            </w:r>
            <w:r w:rsidRPr="003E7106">
              <w:rPr>
                <w:rStyle w:val="FootnoteReference"/>
              </w:rPr>
              <w:footnoteReference w:id="2"/>
            </w:r>
          </w:p>
        </w:tc>
      </w:tr>
      <w:tr w:rsidR="00AE2835" w:rsidRPr="003E7106" w:rsidTr="000A6DB7">
        <w:trPr>
          <w:cantSplit/>
        </w:trPr>
        <w:tc>
          <w:tcPr>
            <w:tcW w:w="2268" w:type="dxa"/>
            <w:shd w:val="clear" w:color="auto" w:fill="B8CCE4" w:themeFill="accent1" w:themeFillTint="66"/>
          </w:tcPr>
          <w:p w:rsidR="00AE2835" w:rsidRPr="003E7106" w:rsidRDefault="00AE2835" w:rsidP="00450C32">
            <w:pPr>
              <w:pStyle w:val="Heading2"/>
              <w:rPr>
                <w:color w:val="404040"/>
              </w:rPr>
            </w:pPr>
            <w:bookmarkStart w:id="6" w:name="_Toc423677657"/>
            <w:bookmarkStart w:id="7" w:name="_Toc426009380"/>
            <w:r w:rsidRPr="003E7106">
              <w:t>Working group membership</w:t>
            </w:r>
            <w:bookmarkEnd w:id="6"/>
            <w:bookmarkEnd w:id="7"/>
          </w:p>
        </w:tc>
        <w:tc>
          <w:tcPr>
            <w:tcW w:w="12333" w:type="dxa"/>
            <w:shd w:val="clear" w:color="auto" w:fill="auto"/>
          </w:tcPr>
          <w:p w:rsidR="00AE2835" w:rsidRPr="003E7106" w:rsidRDefault="00AE2835" w:rsidP="00AC68E0">
            <w:pPr>
              <w:pStyle w:val="TableText"/>
              <w:rPr>
                <w:rFonts w:cs="Arial"/>
              </w:rPr>
            </w:pPr>
            <w:r w:rsidRPr="003E7106">
              <w:rPr>
                <w:rFonts w:cs="Arial"/>
              </w:rPr>
              <w:t>Members of the second work stream (Working Group Two) were:</w:t>
            </w:r>
          </w:p>
          <w:tbl>
            <w:tblPr>
              <w:tblW w:w="12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4" w:type="dxa"/>
                <w:right w:w="284" w:type="dxa"/>
              </w:tblCellMar>
              <w:tblLook w:val="04A0" w:firstRow="1" w:lastRow="0" w:firstColumn="1" w:lastColumn="0" w:noHBand="0" w:noVBand="1"/>
            </w:tblPr>
            <w:tblGrid>
              <w:gridCol w:w="6555"/>
              <w:gridCol w:w="5670"/>
            </w:tblGrid>
            <w:tr w:rsidR="00AE2835" w:rsidRPr="003E7106" w:rsidTr="000A6DB7">
              <w:trPr>
                <w:cantSplit/>
              </w:trPr>
              <w:tc>
                <w:tcPr>
                  <w:tcW w:w="6555" w:type="dxa"/>
                  <w:tcBorders>
                    <w:top w:val="nil"/>
                    <w:left w:val="nil"/>
                    <w:bottom w:val="nil"/>
                    <w:right w:val="nil"/>
                  </w:tcBorders>
                  <w:shd w:val="clear" w:color="auto" w:fill="auto"/>
                </w:tcPr>
                <w:p w:rsidR="00AE2835" w:rsidRPr="003E7106" w:rsidRDefault="00AE2835" w:rsidP="000A6DB7">
                  <w:pPr>
                    <w:pStyle w:val="TableText"/>
                    <w:spacing w:before="0"/>
                    <w:rPr>
                      <w:rFonts w:cs="Arial"/>
                    </w:rPr>
                  </w:pPr>
                  <w:r w:rsidRPr="003E7106">
                    <w:rPr>
                      <w:rFonts w:cs="Arial"/>
                    </w:rPr>
                    <w:t>Ruth Anderson, Health Workforce New Zealand</w:t>
                  </w:r>
                </w:p>
              </w:tc>
              <w:tc>
                <w:tcPr>
                  <w:tcW w:w="5670" w:type="dxa"/>
                  <w:tcBorders>
                    <w:top w:val="nil"/>
                    <w:left w:val="nil"/>
                    <w:bottom w:val="nil"/>
                    <w:right w:val="nil"/>
                  </w:tcBorders>
                  <w:shd w:val="clear" w:color="auto" w:fill="auto"/>
                </w:tcPr>
                <w:p w:rsidR="00AE2835" w:rsidRPr="003E7106" w:rsidRDefault="00AE2835" w:rsidP="000A6DB7">
                  <w:pPr>
                    <w:pStyle w:val="TableText"/>
                    <w:spacing w:before="0"/>
                    <w:rPr>
                      <w:rFonts w:cs="Arial"/>
                    </w:rPr>
                  </w:pPr>
                  <w:r w:rsidRPr="003E7106">
                    <w:rPr>
                      <w:rFonts w:cs="Arial"/>
                    </w:rPr>
                    <w:t>Mark Hodge, ACC</w:t>
                  </w:r>
                </w:p>
              </w:tc>
            </w:tr>
            <w:tr w:rsidR="00AE2835" w:rsidRPr="003E7106" w:rsidTr="000A6DB7">
              <w:trPr>
                <w:cantSplit/>
              </w:trPr>
              <w:tc>
                <w:tcPr>
                  <w:tcW w:w="6555" w:type="dxa"/>
                  <w:tcBorders>
                    <w:top w:val="nil"/>
                    <w:left w:val="nil"/>
                    <w:bottom w:val="nil"/>
                    <w:right w:val="nil"/>
                  </w:tcBorders>
                  <w:shd w:val="clear" w:color="auto" w:fill="auto"/>
                </w:tcPr>
                <w:p w:rsidR="00AE2835" w:rsidRPr="003E7106" w:rsidRDefault="00AE2835" w:rsidP="000A6DB7">
                  <w:pPr>
                    <w:pStyle w:val="TableText"/>
                    <w:spacing w:before="0"/>
                    <w:rPr>
                      <w:rFonts w:cs="Arial"/>
                    </w:rPr>
                  </w:pPr>
                  <w:r w:rsidRPr="003E7106">
                    <w:rPr>
                      <w:rFonts w:cs="Arial"/>
                    </w:rPr>
                    <w:t>Laurie Biesiek, District Health Board (DHB)</w:t>
                  </w:r>
                  <w:r w:rsidR="000A6DB7" w:rsidRPr="003E7106">
                    <w:rPr>
                      <w:rFonts w:cs="Arial"/>
                    </w:rPr>
                    <w:t xml:space="preserve"> Shared Services</w:t>
                  </w:r>
                </w:p>
              </w:tc>
              <w:tc>
                <w:tcPr>
                  <w:tcW w:w="5670" w:type="dxa"/>
                  <w:tcBorders>
                    <w:top w:val="nil"/>
                    <w:left w:val="nil"/>
                    <w:bottom w:val="nil"/>
                    <w:right w:val="nil"/>
                  </w:tcBorders>
                  <w:shd w:val="clear" w:color="auto" w:fill="auto"/>
                </w:tcPr>
                <w:p w:rsidR="00AE2835" w:rsidRPr="003E7106" w:rsidRDefault="00AE2835" w:rsidP="000A6DB7">
                  <w:pPr>
                    <w:pStyle w:val="TableText"/>
                    <w:spacing w:before="0"/>
                    <w:rPr>
                      <w:rFonts w:cs="Arial"/>
                    </w:rPr>
                  </w:pPr>
                  <w:r w:rsidRPr="003E7106">
                    <w:rPr>
                      <w:rFonts w:cs="Arial"/>
                    </w:rPr>
                    <w:t>Sam Jones, Service and Food Workers Union</w:t>
                  </w:r>
                </w:p>
              </w:tc>
            </w:tr>
            <w:tr w:rsidR="00AE2835" w:rsidRPr="003E7106" w:rsidTr="000A6DB7">
              <w:trPr>
                <w:cantSplit/>
              </w:trPr>
              <w:tc>
                <w:tcPr>
                  <w:tcW w:w="6555" w:type="dxa"/>
                  <w:tcBorders>
                    <w:top w:val="nil"/>
                    <w:left w:val="nil"/>
                    <w:bottom w:val="nil"/>
                    <w:right w:val="nil"/>
                  </w:tcBorders>
                  <w:shd w:val="clear" w:color="auto" w:fill="auto"/>
                </w:tcPr>
                <w:p w:rsidR="00AE2835" w:rsidRPr="003E7106" w:rsidRDefault="00AE2835" w:rsidP="000A6DB7">
                  <w:pPr>
                    <w:pStyle w:val="TableText"/>
                    <w:spacing w:before="0"/>
                    <w:rPr>
                      <w:rFonts w:cs="Arial"/>
                    </w:rPr>
                  </w:pPr>
                  <w:r w:rsidRPr="003E7106">
                    <w:rPr>
                      <w:rFonts w:cs="Arial"/>
                    </w:rPr>
                    <w:t>Virginia Brind, Tairawhiti DHB</w:t>
                  </w:r>
                </w:p>
              </w:tc>
              <w:tc>
                <w:tcPr>
                  <w:tcW w:w="5670" w:type="dxa"/>
                  <w:tcBorders>
                    <w:top w:val="nil"/>
                    <w:left w:val="nil"/>
                    <w:bottom w:val="nil"/>
                    <w:right w:val="nil"/>
                  </w:tcBorders>
                  <w:shd w:val="clear" w:color="auto" w:fill="auto"/>
                </w:tcPr>
                <w:p w:rsidR="00AE2835" w:rsidRPr="003E7106" w:rsidRDefault="00AE2835" w:rsidP="000A6DB7">
                  <w:pPr>
                    <w:pStyle w:val="TableText"/>
                    <w:spacing w:before="0"/>
                    <w:rPr>
                      <w:rFonts w:cs="Arial"/>
                    </w:rPr>
                  </w:pPr>
                  <w:r w:rsidRPr="003E7106">
                    <w:rPr>
                      <w:rFonts w:cs="Arial"/>
                    </w:rPr>
                    <w:t>Tony O</w:t>
                  </w:r>
                  <w:r w:rsidR="0082259D" w:rsidRPr="003E7106">
                    <w:rPr>
                      <w:rFonts w:cs="Arial"/>
                    </w:rPr>
                    <w:t>’</w:t>
                  </w:r>
                  <w:r w:rsidRPr="003E7106">
                    <w:rPr>
                      <w:rFonts w:cs="Arial"/>
                    </w:rPr>
                    <w:t>Rourke, Ministry of Health</w:t>
                  </w:r>
                </w:p>
              </w:tc>
            </w:tr>
            <w:tr w:rsidR="00AE2835" w:rsidRPr="003E7106" w:rsidTr="000A6DB7">
              <w:trPr>
                <w:cantSplit/>
              </w:trPr>
              <w:tc>
                <w:tcPr>
                  <w:tcW w:w="6555" w:type="dxa"/>
                  <w:tcBorders>
                    <w:top w:val="nil"/>
                    <w:left w:val="nil"/>
                    <w:bottom w:val="nil"/>
                    <w:right w:val="nil"/>
                  </w:tcBorders>
                  <w:shd w:val="clear" w:color="auto" w:fill="auto"/>
                </w:tcPr>
                <w:p w:rsidR="00AE2835" w:rsidRPr="003E7106" w:rsidRDefault="00AE2835" w:rsidP="000A6DB7">
                  <w:pPr>
                    <w:pStyle w:val="TableText"/>
                    <w:spacing w:before="0"/>
                    <w:rPr>
                      <w:rFonts w:cs="Arial"/>
                    </w:rPr>
                  </w:pPr>
                  <w:r w:rsidRPr="003E7106">
                    <w:rPr>
                      <w:rFonts w:cs="Arial"/>
                    </w:rPr>
                    <w:t>Kereana Buchanan Accident Compensation Corporation (ACC)</w:t>
                  </w:r>
                </w:p>
              </w:tc>
              <w:tc>
                <w:tcPr>
                  <w:tcW w:w="5670" w:type="dxa"/>
                  <w:tcBorders>
                    <w:top w:val="nil"/>
                    <w:left w:val="nil"/>
                    <w:bottom w:val="nil"/>
                    <w:right w:val="nil"/>
                  </w:tcBorders>
                  <w:shd w:val="clear" w:color="auto" w:fill="auto"/>
                </w:tcPr>
                <w:p w:rsidR="00AE2835" w:rsidRPr="003E7106" w:rsidRDefault="00AE2835" w:rsidP="000A6DB7">
                  <w:pPr>
                    <w:pStyle w:val="TableText"/>
                    <w:spacing w:before="0"/>
                    <w:rPr>
                      <w:rFonts w:cs="Arial"/>
                    </w:rPr>
                  </w:pPr>
                  <w:r w:rsidRPr="003E7106">
                    <w:rPr>
                      <w:rFonts w:cs="Arial"/>
                    </w:rPr>
                    <w:t>Graeme Titcombe, Access Health</w:t>
                  </w:r>
                </w:p>
              </w:tc>
            </w:tr>
            <w:tr w:rsidR="00AE2835" w:rsidRPr="003E7106" w:rsidTr="000A6DB7">
              <w:trPr>
                <w:cantSplit/>
              </w:trPr>
              <w:tc>
                <w:tcPr>
                  <w:tcW w:w="6555" w:type="dxa"/>
                  <w:tcBorders>
                    <w:top w:val="nil"/>
                    <w:left w:val="nil"/>
                    <w:bottom w:val="nil"/>
                    <w:right w:val="nil"/>
                  </w:tcBorders>
                  <w:shd w:val="clear" w:color="auto" w:fill="auto"/>
                </w:tcPr>
                <w:p w:rsidR="00AE2835" w:rsidRPr="003E7106" w:rsidRDefault="00AE2835" w:rsidP="000A6DB7">
                  <w:pPr>
                    <w:pStyle w:val="TableText"/>
                    <w:spacing w:before="0"/>
                    <w:rPr>
                      <w:rFonts w:cs="Arial"/>
                    </w:rPr>
                  </w:pPr>
                  <w:r w:rsidRPr="003E7106">
                    <w:rPr>
                      <w:rFonts w:cs="Arial"/>
                    </w:rPr>
                    <w:t>Anita Guthrie, Healthcare of New Zealand Holdings Limited (HHL Group)</w:t>
                  </w:r>
                </w:p>
              </w:tc>
              <w:tc>
                <w:tcPr>
                  <w:tcW w:w="5670" w:type="dxa"/>
                  <w:tcBorders>
                    <w:top w:val="nil"/>
                    <w:left w:val="nil"/>
                    <w:bottom w:val="nil"/>
                    <w:right w:val="nil"/>
                  </w:tcBorders>
                  <w:shd w:val="clear" w:color="auto" w:fill="auto"/>
                </w:tcPr>
                <w:p w:rsidR="00AE2835" w:rsidRPr="003E7106" w:rsidRDefault="00AE2835" w:rsidP="000A6DB7">
                  <w:pPr>
                    <w:pStyle w:val="TableText"/>
                    <w:spacing w:before="0"/>
                    <w:rPr>
                      <w:rFonts w:cs="Arial"/>
                    </w:rPr>
                  </w:pPr>
                  <w:r w:rsidRPr="003E7106">
                    <w:rPr>
                      <w:rFonts w:cs="Arial"/>
                    </w:rPr>
                    <w:t>Melissa Woolley, Public Service Association.</w:t>
                  </w:r>
                </w:p>
              </w:tc>
            </w:tr>
          </w:tbl>
          <w:p w:rsidR="00AE2835" w:rsidRPr="003E7106" w:rsidRDefault="00AE2835" w:rsidP="00AC68E0">
            <w:pPr>
              <w:pStyle w:val="TableText"/>
              <w:rPr>
                <w:rFonts w:cs="Arial"/>
              </w:rPr>
            </w:pPr>
          </w:p>
        </w:tc>
      </w:tr>
      <w:tr w:rsidR="00AE2835" w:rsidRPr="003E7106" w:rsidTr="000A6DB7">
        <w:trPr>
          <w:cantSplit/>
        </w:trPr>
        <w:tc>
          <w:tcPr>
            <w:tcW w:w="2268" w:type="dxa"/>
            <w:shd w:val="clear" w:color="auto" w:fill="B8CCE4" w:themeFill="accent1" w:themeFillTint="66"/>
          </w:tcPr>
          <w:p w:rsidR="00AE2835" w:rsidRPr="003E7106" w:rsidRDefault="00AE2835" w:rsidP="000A6DB7">
            <w:pPr>
              <w:pStyle w:val="Heading2"/>
            </w:pPr>
            <w:bookmarkStart w:id="8" w:name="_Toc423677658"/>
            <w:bookmarkStart w:id="9" w:name="_Toc426009381"/>
            <w:r w:rsidRPr="003E7106">
              <w:t>Scope of the report</w:t>
            </w:r>
            <w:bookmarkEnd w:id="8"/>
            <w:bookmarkEnd w:id="9"/>
          </w:p>
        </w:tc>
        <w:tc>
          <w:tcPr>
            <w:tcW w:w="12333" w:type="dxa"/>
            <w:shd w:val="clear" w:color="auto" w:fill="auto"/>
          </w:tcPr>
          <w:p w:rsidR="00AE2835" w:rsidRPr="003E7106" w:rsidRDefault="00AE2835" w:rsidP="00AC68E0">
            <w:pPr>
              <w:pStyle w:val="TableText"/>
              <w:rPr>
                <w:rFonts w:cs="Arial"/>
              </w:rPr>
            </w:pPr>
            <w:r w:rsidRPr="003E7106">
              <w:rPr>
                <w:rFonts w:cs="Arial"/>
              </w:rPr>
              <w:t>This report relates to Vote: Health-funded Support Workers who deliver home-based care to disabled clients and those aged 65 and over. The same workforce supports and provides care for ACC clients recovering from a short-term injury or requiring ongoing home-based care. ACC was not a party to the Settlement Agreement because it relates to Vote: Health funding only. However, ACC has agreed to negotiate arrangements, subject to the satisfaction of all relevant parties, which will have the effect of ACC paying for in-between travel at similar rates to those agreed in the Settlement Agreement.</w:t>
            </w:r>
          </w:p>
          <w:p w:rsidR="00AE2835" w:rsidRPr="003E7106" w:rsidRDefault="00AE2835" w:rsidP="00AC68E0">
            <w:pPr>
              <w:pStyle w:val="TableText"/>
              <w:rPr>
                <w:rFonts w:cs="Arial"/>
              </w:rPr>
            </w:pPr>
            <w:r w:rsidRPr="003E7106">
              <w:rPr>
                <w:rFonts w:cs="Arial"/>
              </w:rPr>
              <w:t>The report does not cover the workforce that works in:</w:t>
            </w:r>
          </w:p>
          <w:p w:rsidR="00AE2835" w:rsidRPr="003E7106" w:rsidRDefault="000A6DB7" w:rsidP="000A6DB7">
            <w:pPr>
              <w:pStyle w:val="TableText"/>
              <w:spacing w:before="0"/>
              <w:ind w:left="425" w:hanging="425"/>
              <w:rPr>
                <w:rFonts w:cs="Arial"/>
              </w:rPr>
            </w:pPr>
            <w:r w:rsidRPr="003E7106">
              <w:rPr>
                <w:rFonts w:cs="Arial"/>
              </w:rPr>
              <w:t>1.</w:t>
            </w:r>
            <w:r w:rsidRPr="003E7106">
              <w:rPr>
                <w:rFonts w:cs="Arial"/>
              </w:rPr>
              <w:tab/>
            </w:r>
            <w:r w:rsidR="00AE2835" w:rsidRPr="003E7106">
              <w:rPr>
                <w:rFonts w:cs="Arial"/>
              </w:rPr>
              <w:t>services or activities provided in Vote: Health-funded residential facilities (including residential facilities for people with disabilities)</w:t>
            </w:r>
          </w:p>
          <w:p w:rsidR="00AE2835" w:rsidRPr="003E7106" w:rsidRDefault="000A6DB7" w:rsidP="000A6DB7">
            <w:pPr>
              <w:pStyle w:val="TableText"/>
              <w:spacing w:before="0"/>
              <w:ind w:left="425" w:hanging="425"/>
              <w:rPr>
                <w:rFonts w:cs="Arial"/>
              </w:rPr>
            </w:pPr>
            <w:r w:rsidRPr="003E7106">
              <w:rPr>
                <w:rFonts w:cs="Arial"/>
              </w:rPr>
              <w:t>2.</w:t>
            </w:r>
            <w:r w:rsidRPr="003E7106">
              <w:rPr>
                <w:rFonts w:cs="Arial"/>
              </w:rPr>
              <w:tab/>
            </w:r>
            <w:r w:rsidR="00AE2835" w:rsidRPr="003E7106">
              <w:rPr>
                <w:rFonts w:cs="Arial"/>
              </w:rPr>
              <w:t>mental health services</w:t>
            </w:r>
          </w:p>
          <w:p w:rsidR="00AE2835" w:rsidRPr="003E7106" w:rsidRDefault="000A6DB7" w:rsidP="000A6DB7">
            <w:pPr>
              <w:pStyle w:val="TableText"/>
              <w:spacing w:before="0"/>
              <w:ind w:left="425" w:hanging="425"/>
              <w:rPr>
                <w:rFonts w:cs="Arial"/>
              </w:rPr>
            </w:pPr>
            <w:r w:rsidRPr="003E7106">
              <w:rPr>
                <w:rFonts w:cs="Arial"/>
              </w:rPr>
              <w:t>3.</w:t>
            </w:r>
            <w:r w:rsidRPr="003E7106">
              <w:rPr>
                <w:rFonts w:cs="Arial"/>
              </w:rPr>
              <w:tab/>
            </w:r>
            <w:r w:rsidR="00AE2835" w:rsidRPr="003E7106">
              <w:rPr>
                <w:rFonts w:cs="Arial"/>
              </w:rPr>
              <w:t>services funded through an individualised funding package.</w:t>
            </w:r>
          </w:p>
        </w:tc>
      </w:tr>
      <w:tr w:rsidR="00AE2835" w:rsidRPr="003E7106" w:rsidTr="000A6DB7">
        <w:trPr>
          <w:cantSplit/>
        </w:trPr>
        <w:tc>
          <w:tcPr>
            <w:tcW w:w="2268" w:type="dxa"/>
            <w:shd w:val="clear" w:color="auto" w:fill="B8CCE4" w:themeFill="accent1" w:themeFillTint="66"/>
          </w:tcPr>
          <w:p w:rsidR="00AE2835" w:rsidRPr="003E7106" w:rsidRDefault="00AE2835" w:rsidP="000A6DB7">
            <w:pPr>
              <w:pStyle w:val="Heading2"/>
            </w:pPr>
            <w:bookmarkStart w:id="10" w:name="_Toc423677659"/>
            <w:bookmarkStart w:id="11" w:name="_Toc426009382"/>
            <w:r w:rsidRPr="003E7106">
              <w:t>Caveats</w:t>
            </w:r>
            <w:bookmarkEnd w:id="10"/>
            <w:bookmarkEnd w:id="11"/>
          </w:p>
        </w:tc>
        <w:tc>
          <w:tcPr>
            <w:tcW w:w="12333" w:type="dxa"/>
            <w:shd w:val="clear" w:color="auto" w:fill="auto"/>
          </w:tcPr>
          <w:p w:rsidR="00AE2835" w:rsidRPr="003E7106" w:rsidRDefault="00AE2835" w:rsidP="00AC68E0">
            <w:pPr>
              <w:pStyle w:val="TableText"/>
              <w:rPr>
                <w:rFonts w:cs="Arial"/>
              </w:rPr>
            </w:pPr>
            <w:r w:rsidRPr="003E7106">
              <w:rPr>
                <w:rFonts w:cs="Arial"/>
              </w:rPr>
              <w:t>The following caveats apply to this report.</w:t>
            </w:r>
          </w:p>
          <w:p w:rsidR="00AE2835" w:rsidRPr="003E7106" w:rsidRDefault="000A6DB7" w:rsidP="000A6DB7">
            <w:pPr>
              <w:pStyle w:val="TableText"/>
              <w:spacing w:before="0"/>
              <w:ind w:left="425" w:hanging="425"/>
              <w:rPr>
                <w:rFonts w:cs="Arial"/>
              </w:rPr>
            </w:pPr>
            <w:r w:rsidRPr="003E7106">
              <w:rPr>
                <w:rFonts w:cs="Arial"/>
              </w:rPr>
              <w:t>1.</w:t>
            </w:r>
            <w:r w:rsidRPr="003E7106">
              <w:rPr>
                <w:rFonts w:cs="Arial"/>
              </w:rPr>
              <w:tab/>
            </w:r>
            <w:r w:rsidR="00AE2835" w:rsidRPr="003E7106">
              <w:rPr>
                <w:rFonts w:cs="Arial"/>
              </w:rPr>
              <w:t>All three funders (Ministry of Health, ACC and the DHBs) apply a national pricing model that is sufficient to support a regularised workforce.</w:t>
            </w:r>
          </w:p>
          <w:p w:rsidR="00AE2835" w:rsidRPr="003E7106" w:rsidRDefault="000A6DB7" w:rsidP="000A6DB7">
            <w:pPr>
              <w:pStyle w:val="TableText"/>
              <w:spacing w:before="0"/>
              <w:ind w:left="425" w:hanging="425"/>
              <w:rPr>
                <w:rFonts w:cs="Arial"/>
              </w:rPr>
            </w:pPr>
            <w:r w:rsidRPr="003E7106">
              <w:rPr>
                <w:rFonts w:cs="Arial"/>
              </w:rPr>
              <w:t>2.</w:t>
            </w:r>
            <w:r w:rsidRPr="003E7106">
              <w:rPr>
                <w:rFonts w:cs="Arial"/>
              </w:rPr>
              <w:tab/>
            </w:r>
            <w:r w:rsidR="00AE2835" w:rsidRPr="003E7106">
              <w:rPr>
                <w:rFonts w:cs="Arial"/>
              </w:rPr>
              <w:t>The DHBs take a consistent price/cost approach to the funding of HCSS under a national contract.</w:t>
            </w:r>
          </w:p>
          <w:p w:rsidR="00AE2835" w:rsidRPr="003E7106" w:rsidRDefault="000A6DB7" w:rsidP="000A6DB7">
            <w:pPr>
              <w:pStyle w:val="TableText"/>
              <w:spacing w:before="0"/>
              <w:ind w:left="425" w:hanging="425"/>
              <w:rPr>
                <w:rFonts w:cs="Arial"/>
              </w:rPr>
            </w:pPr>
            <w:r w:rsidRPr="003E7106">
              <w:rPr>
                <w:rFonts w:cs="Arial"/>
              </w:rPr>
              <w:t>3.</w:t>
            </w:r>
            <w:r w:rsidRPr="003E7106">
              <w:rPr>
                <w:rFonts w:cs="Arial"/>
              </w:rPr>
              <w:tab/>
            </w:r>
            <w:r w:rsidR="00AE2835" w:rsidRPr="003E7106">
              <w:rPr>
                <w:rFonts w:cs="Arial"/>
              </w:rPr>
              <w:t>All recommendations in this report are fully funded (to avoid future risks to the safety of clients, or to the workforce, or to the sustainability of the service providers).</w:t>
            </w:r>
          </w:p>
          <w:p w:rsidR="00AE2835" w:rsidRPr="003E7106" w:rsidRDefault="008F4161" w:rsidP="00AC68E0">
            <w:pPr>
              <w:pStyle w:val="TableText"/>
              <w:rPr>
                <w:rFonts w:cs="Arial"/>
                <w:i/>
              </w:rPr>
            </w:pPr>
            <w:r>
              <w:rPr>
                <w:rFonts w:cs="Arial"/>
                <w:i/>
              </w:rPr>
              <w:t>I</w:t>
            </w:r>
            <w:r w:rsidR="00AE2835" w:rsidRPr="003E7106">
              <w:rPr>
                <w:rFonts w:cs="Arial"/>
                <w:i/>
              </w:rPr>
              <w:t>mplementation of regularisation will not be possible without national pricing and national contracting.</w:t>
            </w:r>
          </w:p>
          <w:p w:rsidR="0082259D" w:rsidRPr="003E7106" w:rsidRDefault="00AE2835" w:rsidP="00AC68E0">
            <w:pPr>
              <w:pStyle w:val="TableText"/>
              <w:rPr>
                <w:rFonts w:cs="Arial"/>
                <w:lang w:eastAsia="en-NZ"/>
              </w:rPr>
            </w:pPr>
            <w:r w:rsidRPr="003E7106">
              <w:rPr>
                <w:rFonts w:cs="Arial"/>
                <w:lang w:eastAsia="en-NZ"/>
              </w:rPr>
              <w:t>In addition, it should be noted that, in principle, ACC supports the recommendations for moving towards a regularised HCSS workforce as it relates to Vote: Health funding. ACC has provided advice on and support for the development of these recommendations and is committed to supporting the regularisation of the HCSS workforce, but notes that because ACC is not a party to the Settlement Agreement, ACC is not covered by these recommendations.</w:t>
            </w:r>
          </w:p>
          <w:p w:rsidR="00AE2835" w:rsidRPr="003E7106" w:rsidRDefault="00AE2835" w:rsidP="00AC68E0">
            <w:pPr>
              <w:pStyle w:val="TableText"/>
              <w:rPr>
                <w:rFonts w:cs="Arial"/>
                <w:lang w:eastAsia="en-NZ"/>
              </w:rPr>
            </w:pPr>
            <w:r w:rsidRPr="003E7106">
              <w:rPr>
                <w:rFonts w:cs="Arial"/>
                <w:lang w:eastAsia="en-NZ"/>
              </w:rPr>
              <w:t>Once the recommendations have been finalised by the Director-General</w:t>
            </w:r>
            <w:r w:rsidR="0082259D" w:rsidRPr="003E7106">
              <w:rPr>
                <w:rFonts w:cs="Arial"/>
                <w:lang w:eastAsia="en-NZ"/>
              </w:rPr>
              <w:t>’</w:t>
            </w:r>
            <w:r w:rsidRPr="003E7106">
              <w:rPr>
                <w:rFonts w:cs="Arial"/>
                <w:lang w:eastAsia="en-NZ"/>
              </w:rPr>
              <w:t>s Reference Group and the Minister of Health, ACC will consider what operational, contractual and pricing changes will be needed to support their providers to move towards a regularised HCSS workforce. This process will be subject to approval from ACC</w:t>
            </w:r>
            <w:r w:rsidR="0082259D" w:rsidRPr="003E7106">
              <w:rPr>
                <w:rFonts w:cs="Arial"/>
                <w:lang w:eastAsia="en-NZ"/>
              </w:rPr>
              <w:t>’</w:t>
            </w:r>
            <w:r w:rsidRPr="003E7106">
              <w:rPr>
                <w:rFonts w:cs="Arial"/>
                <w:lang w:eastAsia="en-NZ"/>
              </w:rPr>
              <w:t>s executive and board, as well as the Minister for ACC.</w:t>
            </w:r>
          </w:p>
        </w:tc>
      </w:tr>
      <w:tr w:rsidR="00AE2835" w:rsidRPr="003E7106" w:rsidTr="000A6DB7">
        <w:trPr>
          <w:cantSplit/>
        </w:trPr>
        <w:tc>
          <w:tcPr>
            <w:tcW w:w="2268" w:type="dxa"/>
            <w:shd w:val="clear" w:color="auto" w:fill="B8CCE4" w:themeFill="accent1" w:themeFillTint="66"/>
          </w:tcPr>
          <w:p w:rsidR="00AE2835" w:rsidRPr="003E7106" w:rsidRDefault="00AE2835" w:rsidP="000A6DB7">
            <w:pPr>
              <w:pStyle w:val="Heading2"/>
            </w:pPr>
            <w:bookmarkStart w:id="12" w:name="_Toc423677660"/>
            <w:bookmarkStart w:id="13" w:name="_Toc426009383"/>
            <w:r w:rsidRPr="003E7106">
              <w:t>Potential risks to be mitigated to support the transition to regularisation</w:t>
            </w:r>
            <w:bookmarkEnd w:id="12"/>
            <w:bookmarkEnd w:id="13"/>
          </w:p>
        </w:tc>
        <w:tc>
          <w:tcPr>
            <w:tcW w:w="12333" w:type="dxa"/>
            <w:shd w:val="clear" w:color="auto" w:fill="auto"/>
          </w:tcPr>
          <w:p w:rsidR="00AE2835" w:rsidRPr="003E7106" w:rsidRDefault="00AE2835" w:rsidP="00AC68E0">
            <w:pPr>
              <w:pStyle w:val="TableText"/>
              <w:rPr>
                <w:rFonts w:cs="Arial"/>
              </w:rPr>
            </w:pPr>
            <w:r w:rsidRPr="003E7106">
              <w:rPr>
                <w:rFonts w:cs="Arial"/>
              </w:rPr>
              <w:t>Before implementation of regularisation, there are a number of potential risks that must be considered and mitigated:</w:t>
            </w:r>
          </w:p>
          <w:p w:rsidR="00AE2835" w:rsidRPr="003E7106" w:rsidRDefault="000A6DB7" w:rsidP="000A6DB7">
            <w:pPr>
              <w:pStyle w:val="TableText"/>
              <w:spacing w:before="0"/>
              <w:ind w:left="425" w:hanging="425"/>
              <w:rPr>
                <w:rFonts w:cs="Arial"/>
              </w:rPr>
            </w:pPr>
            <w:r w:rsidRPr="003E7106">
              <w:rPr>
                <w:rFonts w:cs="Arial"/>
              </w:rPr>
              <w:t>1.</w:t>
            </w:r>
            <w:r w:rsidRPr="003E7106">
              <w:rPr>
                <w:rFonts w:cs="Arial"/>
              </w:rPr>
              <w:tab/>
            </w:r>
            <w:r w:rsidR="00AE2835" w:rsidRPr="003E7106">
              <w:rPr>
                <w:rFonts w:cs="Arial"/>
              </w:rPr>
              <w:t>the impact of client choice on a regularised workforce (ie, the more client choice, the greater the impact on service delivery and provider costs)</w:t>
            </w:r>
          </w:p>
          <w:p w:rsidR="00AE2835" w:rsidRPr="003E7106" w:rsidRDefault="000A6DB7" w:rsidP="000A6DB7">
            <w:pPr>
              <w:pStyle w:val="TableText"/>
              <w:spacing w:before="0"/>
              <w:ind w:left="425" w:hanging="425"/>
              <w:rPr>
                <w:rFonts w:cs="Arial"/>
              </w:rPr>
            </w:pPr>
            <w:r w:rsidRPr="003E7106">
              <w:rPr>
                <w:rFonts w:cs="Arial"/>
              </w:rPr>
              <w:t>2.</w:t>
            </w:r>
            <w:r w:rsidRPr="003E7106">
              <w:rPr>
                <w:rFonts w:cs="Arial"/>
              </w:rPr>
              <w:tab/>
            </w:r>
            <w:r w:rsidR="00AE2835" w:rsidRPr="003E7106">
              <w:rPr>
                <w:rFonts w:cs="Arial"/>
              </w:rPr>
              <w:t>workers</w:t>
            </w:r>
            <w:r w:rsidR="0082259D" w:rsidRPr="003E7106">
              <w:rPr>
                <w:rFonts w:cs="Arial"/>
              </w:rPr>
              <w:t>’</w:t>
            </w:r>
            <w:r w:rsidR="00AE2835" w:rsidRPr="003E7106">
              <w:rPr>
                <w:rFonts w:cs="Arial"/>
              </w:rPr>
              <w:t xml:space="preserve"> preference for guaranteed hours, as not all will wish all or part of their hours to be guaranteed</w:t>
            </w:r>
          </w:p>
          <w:p w:rsidR="00AE2835" w:rsidRPr="003E7106" w:rsidRDefault="000A6DB7" w:rsidP="000A6DB7">
            <w:pPr>
              <w:pStyle w:val="TableText"/>
              <w:spacing w:before="0"/>
              <w:ind w:left="425" w:hanging="425"/>
              <w:rPr>
                <w:rFonts w:cs="Arial"/>
              </w:rPr>
            </w:pPr>
            <w:r w:rsidRPr="003E7106">
              <w:rPr>
                <w:rFonts w:cs="Arial"/>
              </w:rPr>
              <w:t>3.</w:t>
            </w:r>
            <w:r w:rsidRPr="003E7106">
              <w:rPr>
                <w:rFonts w:cs="Arial"/>
              </w:rPr>
              <w:tab/>
            </w:r>
            <w:r w:rsidR="00AE2835" w:rsidRPr="003E7106">
              <w:rPr>
                <w:rFonts w:cs="Arial"/>
              </w:rPr>
              <w:t>ACC has not yet undertaken work relating to non-utilisation rates</w:t>
            </w:r>
          </w:p>
          <w:p w:rsidR="00AE2835" w:rsidRPr="003E7106" w:rsidRDefault="000A6DB7" w:rsidP="000A6DB7">
            <w:pPr>
              <w:pStyle w:val="TableText"/>
              <w:spacing w:before="0"/>
              <w:ind w:left="425" w:hanging="425"/>
              <w:rPr>
                <w:rFonts w:cs="Arial"/>
              </w:rPr>
            </w:pPr>
            <w:r w:rsidRPr="003E7106">
              <w:rPr>
                <w:rFonts w:cs="Arial"/>
              </w:rPr>
              <w:t>4.</w:t>
            </w:r>
            <w:r w:rsidRPr="003E7106">
              <w:rPr>
                <w:rFonts w:cs="Arial"/>
              </w:rPr>
              <w:tab/>
            </w:r>
            <w:r w:rsidR="00AE2835" w:rsidRPr="003E7106">
              <w:rPr>
                <w:rFonts w:cs="Arial"/>
              </w:rPr>
              <w:t>should ACC not offer guaranteed hours, this will have a significant impact on providers</w:t>
            </w:r>
            <w:r w:rsidR="0082259D" w:rsidRPr="003E7106">
              <w:rPr>
                <w:rFonts w:cs="Arial"/>
              </w:rPr>
              <w:t>’</w:t>
            </w:r>
            <w:r w:rsidR="00AE2835" w:rsidRPr="003E7106">
              <w:rPr>
                <w:rFonts w:cs="Arial"/>
              </w:rPr>
              <w:t xml:space="preserve"> ability to deliver guaranteed hours in accordance with the recomme</w:t>
            </w:r>
            <w:r w:rsidRPr="003E7106">
              <w:rPr>
                <w:rFonts w:cs="Arial"/>
              </w:rPr>
              <w:t>ndations set out in the report.</w:t>
            </w:r>
          </w:p>
        </w:tc>
      </w:tr>
    </w:tbl>
    <w:p w:rsidR="000A6DB7" w:rsidRPr="003E7106" w:rsidRDefault="000A6DB7"/>
    <w:p w:rsidR="000A6DB7" w:rsidRPr="003E7106" w:rsidRDefault="000A6DB7" w:rsidP="000A6DB7">
      <w:r w:rsidRPr="003E7106">
        <w:br w:type="page"/>
      </w:r>
    </w:p>
    <w:p w:rsidR="000A6DB7" w:rsidRPr="003E7106" w:rsidRDefault="000A6DB7" w:rsidP="000A6DB7">
      <w:pPr>
        <w:pStyle w:val="Heading1"/>
      </w:pPr>
      <w:bookmarkStart w:id="14" w:name="_Toc426009384"/>
      <w:r w:rsidRPr="003E7106">
        <w:t>Executive summary</w:t>
      </w:r>
      <w:bookmarkEnd w:id="14"/>
    </w:p>
    <w:tbl>
      <w:tblPr>
        <w:tblW w:w="0" w:type="auto"/>
        <w:tblInd w:w="108" w:type="dxa"/>
        <w:tblLayout w:type="fixed"/>
        <w:tblLook w:val="04A0" w:firstRow="1" w:lastRow="0" w:firstColumn="1" w:lastColumn="0" w:noHBand="0" w:noVBand="1"/>
      </w:tblPr>
      <w:tblGrid>
        <w:gridCol w:w="2268"/>
        <w:gridCol w:w="12333"/>
      </w:tblGrid>
      <w:tr w:rsidR="000A6DB7" w:rsidRPr="003E7106" w:rsidTr="000A6DB7">
        <w:trPr>
          <w:cantSplit/>
          <w:tblHeader/>
        </w:trPr>
        <w:tc>
          <w:tcPr>
            <w:tcW w:w="2268" w:type="dxa"/>
            <w:shd w:val="clear" w:color="auto" w:fill="1F497D" w:themeFill="text2"/>
            <w:hideMark/>
          </w:tcPr>
          <w:p w:rsidR="00AE2835" w:rsidRPr="003E7106" w:rsidRDefault="00AE2835" w:rsidP="00AC68E0">
            <w:pPr>
              <w:pStyle w:val="TableText"/>
              <w:rPr>
                <w:b/>
                <w:color w:val="FFFFFF" w:themeColor="background1"/>
              </w:rPr>
            </w:pPr>
            <w:r w:rsidRPr="003E7106">
              <w:rPr>
                <w:b/>
                <w:color w:val="FFFFFF" w:themeColor="background1"/>
              </w:rPr>
              <w:t>Area</w:t>
            </w:r>
          </w:p>
        </w:tc>
        <w:tc>
          <w:tcPr>
            <w:tcW w:w="12333" w:type="dxa"/>
            <w:shd w:val="clear" w:color="auto" w:fill="1F497D" w:themeFill="text2"/>
            <w:hideMark/>
          </w:tcPr>
          <w:p w:rsidR="00AE2835" w:rsidRPr="003E7106" w:rsidRDefault="00AE2835" w:rsidP="00AC68E0">
            <w:pPr>
              <w:pStyle w:val="TableText"/>
              <w:rPr>
                <w:b/>
                <w:color w:val="FFFFFF" w:themeColor="background1"/>
              </w:rPr>
            </w:pPr>
            <w:r w:rsidRPr="003E7106">
              <w:rPr>
                <w:b/>
                <w:color w:val="FFFFFF" w:themeColor="background1"/>
              </w:rPr>
              <w:t>Summary statement</w:t>
            </w:r>
          </w:p>
        </w:tc>
      </w:tr>
      <w:tr w:rsidR="007C56CE" w:rsidRPr="003E7106" w:rsidTr="000A6DB7">
        <w:trPr>
          <w:cantSplit/>
        </w:trPr>
        <w:tc>
          <w:tcPr>
            <w:tcW w:w="2268" w:type="dxa"/>
            <w:shd w:val="clear" w:color="auto" w:fill="B8CCE4" w:themeFill="accent1" w:themeFillTint="66"/>
          </w:tcPr>
          <w:p w:rsidR="007C56CE" w:rsidRPr="003E7106" w:rsidRDefault="007C56CE" w:rsidP="00FC6704">
            <w:pPr>
              <w:pStyle w:val="Heading2"/>
            </w:pPr>
            <w:bookmarkStart w:id="15" w:name="_Toc426009385"/>
            <w:r w:rsidRPr="003E7106">
              <w:t>Executive summary</w:t>
            </w:r>
            <w:bookmarkEnd w:id="15"/>
          </w:p>
        </w:tc>
        <w:tc>
          <w:tcPr>
            <w:tcW w:w="12333" w:type="dxa"/>
            <w:shd w:val="clear" w:color="auto" w:fill="auto"/>
          </w:tcPr>
          <w:p w:rsidR="007C56CE" w:rsidRPr="003E7106" w:rsidRDefault="007C56CE" w:rsidP="007C56CE">
            <w:pPr>
              <w:pStyle w:val="TableText"/>
              <w:ind w:left="425" w:hanging="425"/>
            </w:pPr>
            <w:r w:rsidRPr="003E7106">
              <w:t>1.</w:t>
            </w:r>
            <w:r w:rsidRPr="003E7106">
              <w:tab/>
              <w:t>Regularisation of the home and community support service (HCSS) workforce is both feasible and desirable for all parties and will support all service delivery models.</w:t>
            </w:r>
          </w:p>
          <w:p w:rsidR="007C56CE" w:rsidRPr="003E7106" w:rsidRDefault="007C56CE" w:rsidP="007C56CE">
            <w:pPr>
              <w:pStyle w:val="TableText"/>
              <w:ind w:left="425" w:hanging="425"/>
            </w:pPr>
            <w:r w:rsidRPr="003E7106">
              <w:t>2.</w:t>
            </w:r>
            <w:r w:rsidRPr="003E7106">
              <w:tab/>
              <w:t>The benefits of regularisation include:</w:t>
            </w:r>
          </w:p>
          <w:p w:rsidR="007C56CE" w:rsidRPr="003E7106" w:rsidRDefault="007C56CE" w:rsidP="007C56CE">
            <w:pPr>
              <w:pStyle w:val="TableText"/>
              <w:ind w:left="850" w:hanging="425"/>
            </w:pPr>
            <w:r w:rsidRPr="003E7106">
              <w:t>a.</w:t>
            </w:r>
            <w:r w:rsidRPr="003E7106">
              <w:tab/>
              <w:t>increased quality and consistency of services delivered to clients</w:t>
            </w:r>
          </w:p>
          <w:p w:rsidR="007C56CE" w:rsidRPr="003E7106" w:rsidRDefault="007C56CE" w:rsidP="007C56CE">
            <w:pPr>
              <w:pStyle w:val="TableText"/>
              <w:ind w:left="850" w:hanging="425"/>
            </w:pPr>
            <w:r w:rsidRPr="003E7106">
              <w:t>b.</w:t>
            </w:r>
            <w:r w:rsidRPr="003E7106">
              <w:tab/>
              <w:t>increased worker capability to be responsive to client needs, greater certainty of employment and income for workers, support for worker training, recognition of training for workers, and a better articulated career pathway for Support Workers</w:t>
            </w:r>
          </w:p>
          <w:p w:rsidR="007C56CE" w:rsidRPr="003E7106" w:rsidRDefault="007C56CE" w:rsidP="007C56CE">
            <w:pPr>
              <w:pStyle w:val="TableText"/>
              <w:ind w:left="850" w:hanging="425"/>
            </w:pPr>
            <w:r w:rsidRPr="003E7106">
              <w:t>c.</w:t>
            </w:r>
            <w:r w:rsidRPr="003E7106">
              <w:tab/>
              <w:t>enhanced provider capacity to be able to recruit and retain their workforce, to be responsive to fluctuations in client needs, and to respond to changing models of care</w:t>
            </w:r>
          </w:p>
          <w:p w:rsidR="007C56CE" w:rsidRPr="003E7106" w:rsidRDefault="007C56CE" w:rsidP="007C56CE">
            <w:pPr>
              <w:pStyle w:val="TableText"/>
              <w:ind w:left="850" w:hanging="425"/>
            </w:pPr>
            <w:r w:rsidRPr="003E7106">
              <w:t>d.</w:t>
            </w:r>
            <w:r w:rsidRPr="003E7106">
              <w:tab/>
              <w:t>increased consistency and transparency in the basis for determining service delivery funding, increased accountability of providers for the use of allocated funding, and access to improved workforce and service delivery.</w:t>
            </w:r>
          </w:p>
          <w:p w:rsidR="007C56CE" w:rsidRPr="003E7106" w:rsidRDefault="007C56CE" w:rsidP="007C56CE">
            <w:pPr>
              <w:pStyle w:val="TableText"/>
              <w:ind w:left="425" w:hanging="425"/>
            </w:pPr>
            <w:r w:rsidRPr="003E7106">
              <w:t>3.</w:t>
            </w:r>
            <w:r w:rsidRPr="003E7106">
              <w:tab/>
              <w:t>There are risks for all parties in regularising the HCSS workforce.</w:t>
            </w:r>
          </w:p>
          <w:p w:rsidR="007C56CE" w:rsidRPr="003E7106" w:rsidRDefault="007C56CE" w:rsidP="007C56CE">
            <w:pPr>
              <w:pStyle w:val="TableText"/>
              <w:ind w:left="850" w:hanging="425"/>
            </w:pPr>
            <w:r w:rsidRPr="003E7106">
              <w:t>a.</w:t>
            </w:r>
            <w:r w:rsidRPr="003E7106">
              <w:tab/>
            </w:r>
            <w:r w:rsidRPr="003E7106">
              <w:rPr>
                <w:i/>
              </w:rPr>
              <w:t>For clients:</w:t>
            </w:r>
            <w:r w:rsidRPr="003E7106">
              <w:t xml:space="preserve"> clients may have less choice about who delivers services to them and, potentially, when those services are delivered, although these disadvantages are expected to be offset by enhanced quality and consistency of services.</w:t>
            </w:r>
          </w:p>
          <w:p w:rsidR="007C56CE" w:rsidRPr="003E7106" w:rsidRDefault="007C56CE" w:rsidP="007C56CE">
            <w:pPr>
              <w:pStyle w:val="TableText"/>
              <w:ind w:left="850" w:hanging="425"/>
            </w:pPr>
            <w:r w:rsidRPr="003E7106">
              <w:t>b.</w:t>
            </w:r>
            <w:r w:rsidRPr="003E7106">
              <w:tab/>
            </w:r>
            <w:r w:rsidRPr="003E7106">
              <w:rPr>
                <w:i/>
              </w:rPr>
              <w:t>For Support Workers</w:t>
            </w:r>
            <w:r w:rsidRPr="003E7106">
              <w:t xml:space="preserve">: Support Workers may lose the flexibility of being able to agree a variation to </w:t>
            </w:r>
            <w:r w:rsidRPr="003E7106">
              <w:rPr>
                <w:rFonts w:cs="Arial"/>
              </w:rPr>
              <w:t>rostered service delivery times at short notice in order to accommodate unplanned events (depending on rostering and organisational practices).</w:t>
            </w:r>
          </w:p>
          <w:p w:rsidR="007C56CE" w:rsidRPr="003E7106" w:rsidRDefault="007C56CE" w:rsidP="007C56CE">
            <w:pPr>
              <w:pStyle w:val="TableText"/>
              <w:ind w:left="850" w:hanging="425"/>
            </w:pPr>
            <w:r w:rsidRPr="003E7106">
              <w:t>c.</w:t>
            </w:r>
            <w:r w:rsidRPr="003E7106">
              <w:tab/>
            </w:r>
            <w:r w:rsidRPr="003E7106">
              <w:rPr>
                <w:i/>
              </w:rPr>
              <w:t>For providers:</w:t>
            </w:r>
            <w:r w:rsidRPr="003E7106">
              <w:t xml:space="preserve"> providers may not have sufficient ongoing client volumes or funding to support a regularised workforce, although this can be managed through change management processes to review the number of guaranteed hours individuals have across the workforce.</w:t>
            </w:r>
          </w:p>
          <w:p w:rsidR="007C56CE" w:rsidRPr="003E7106" w:rsidRDefault="007C56CE" w:rsidP="007C56CE">
            <w:pPr>
              <w:pStyle w:val="TableText"/>
              <w:ind w:left="850" w:hanging="425"/>
            </w:pPr>
            <w:r w:rsidRPr="003E7106">
              <w:t>d.</w:t>
            </w:r>
            <w:r w:rsidRPr="003E7106">
              <w:tab/>
            </w:r>
            <w:r w:rsidRPr="003E7106">
              <w:rPr>
                <w:i/>
              </w:rPr>
              <w:t>For funders:</w:t>
            </w:r>
            <w:r w:rsidRPr="003E7106">
              <w:t xml:space="preserve"> funding to support a regularised workforce will be increased in the short term (and on an ongoing basis). However, the expected benefits in service consistency and quality and the positive impact on supporting people to remain in the home longer may only become evident in the long term.</w:t>
            </w:r>
          </w:p>
          <w:p w:rsidR="007C56CE" w:rsidRPr="003E7106" w:rsidRDefault="007C56CE" w:rsidP="007C56CE">
            <w:pPr>
              <w:pStyle w:val="TableText"/>
              <w:ind w:left="425" w:hanging="425"/>
            </w:pPr>
            <w:r w:rsidRPr="003E7106">
              <w:t>4.</w:t>
            </w:r>
            <w:r w:rsidRPr="003E7106">
              <w:tab/>
              <w:t>A staged whole-of-sector approach to the transition to a regularised workforce is recommended. This includes setting up a transition group to have oversight of, and manage, the transition process. The Transition Group must include the participation, as equal partners, of: the Ministry of Health (in its role as manager of Crown funding), the Ministry of Health (as funder of Disability Support Services), ACC, DHBs (in their capacity as funders and providers), and provider, union and client representatives.</w:t>
            </w:r>
          </w:p>
          <w:p w:rsidR="007C56CE" w:rsidRPr="003E7106" w:rsidRDefault="007C56CE" w:rsidP="000A6DB7">
            <w:pPr>
              <w:pStyle w:val="TableText"/>
              <w:ind w:left="425" w:hanging="425"/>
            </w:pPr>
            <w:r w:rsidRPr="003E7106">
              <w:t>5.</w:t>
            </w:r>
            <w:r w:rsidRPr="003E7106">
              <w:tab/>
              <w:t>This report recommends a suite of interventions that must be implemented in their entirety if regularisation (as described in the Settlement Agreement) is to be achieved. The interventions set out here must not be implemented separately over a period of time, irrespective of the proposed length of time. To do so would jeopardise the potential success of the initiative and, importantly, prompt the loss of good will on the part of the DHBs, providers and unions as parti</w:t>
            </w:r>
            <w:r>
              <w:t>es to the Settlement Agreement.</w:t>
            </w:r>
          </w:p>
        </w:tc>
      </w:tr>
      <w:tr w:rsidR="007C56CE" w:rsidRPr="003E7106" w:rsidTr="000A6DB7">
        <w:trPr>
          <w:cantSplit/>
        </w:trPr>
        <w:tc>
          <w:tcPr>
            <w:tcW w:w="2268" w:type="dxa"/>
            <w:vMerge w:val="restart"/>
            <w:shd w:val="clear" w:color="auto" w:fill="B8CCE4" w:themeFill="accent1" w:themeFillTint="66"/>
          </w:tcPr>
          <w:p w:rsidR="007C56CE" w:rsidRPr="007C56CE" w:rsidRDefault="007C56CE" w:rsidP="00FC6704">
            <w:pPr>
              <w:pStyle w:val="Heading3"/>
            </w:pPr>
            <w:bookmarkStart w:id="16" w:name="_Toc423677662"/>
            <w:r w:rsidRPr="007C56CE">
              <w:t>Executive summary</w:t>
            </w:r>
            <w:bookmarkEnd w:id="16"/>
            <w:r w:rsidRPr="007C56CE">
              <w:rPr>
                <w:b w:val="0"/>
              </w:rPr>
              <w:t xml:space="preserve"> (continued)</w:t>
            </w:r>
          </w:p>
        </w:tc>
        <w:tc>
          <w:tcPr>
            <w:tcW w:w="12333" w:type="dxa"/>
            <w:shd w:val="clear" w:color="auto" w:fill="auto"/>
          </w:tcPr>
          <w:p w:rsidR="007C56CE" w:rsidRPr="003E7106" w:rsidRDefault="007C56CE" w:rsidP="00565944">
            <w:pPr>
              <w:pStyle w:val="TableText"/>
              <w:ind w:left="425" w:hanging="425"/>
            </w:pPr>
            <w:r w:rsidRPr="003E7106">
              <w:t>6.</w:t>
            </w:r>
            <w:r w:rsidRPr="003E7106">
              <w:tab/>
              <w:t>A separate initial Crown Budget bid is necessary to ensure the sustainability of the sector in advance of regularisation and retention of the current workforce. This budget bid should be sufficient to ensure that all providers are able to allocate $27.76 per hour per Support Worker (exclusive of in</w:t>
            </w:r>
            <w:r w:rsidRPr="003E7106">
              <w:noBreakHyphen/>
              <w:t>between travel payments) as a baseline. With payment of the baseline, providers should be expected to pay a minimum of $15 per hour per Support Worker prior to regularisation and prior to the application of wage rates linked to qualifications. Further work is required to determine the level of funding recommended.</w:t>
            </w:r>
          </w:p>
        </w:tc>
      </w:tr>
      <w:tr w:rsidR="007C56CE" w:rsidRPr="003E7106" w:rsidTr="000A6DB7">
        <w:trPr>
          <w:cantSplit/>
        </w:trPr>
        <w:tc>
          <w:tcPr>
            <w:tcW w:w="2268" w:type="dxa"/>
            <w:vMerge/>
            <w:shd w:val="clear" w:color="auto" w:fill="B8CCE4" w:themeFill="accent1" w:themeFillTint="66"/>
            <w:hideMark/>
          </w:tcPr>
          <w:p w:rsidR="007C56CE" w:rsidRPr="003E7106" w:rsidRDefault="007C56CE" w:rsidP="00AC68E0">
            <w:pPr>
              <w:pStyle w:val="TableText"/>
              <w:rPr>
                <w:rFonts w:cs="Arial"/>
                <w:b/>
                <w:i/>
                <w:color w:val="000000"/>
              </w:rPr>
            </w:pPr>
          </w:p>
        </w:tc>
        <w:tc>
          <w:tcPr>
            <w:tcW w:w="12333" w:type="dxa"/>
            <w:shd w:val="clear" w:color="auto" w:fill="auto"/>
          </w:tcPr>
          <w:p w:rsidR="007C56CE" w:rsidRPr="003E7106" w:rsidRDefault="007C56CE" w:rsidP="00565944">
            <w:pPr>
              <w:pStyle w:val="TableText"/>
              <w:ind w:left="425" w:hanging="425"/>
            </w:pPr>
            <w:r w:rsidRPr="003E7106">
              <w:t>7.</w:t>
            </w:r>
            <w:r w:rsidRPr="003E7106">
              <w:tab/>
              <w:t>To support regularisation, sufficient additional Crown funding must be allocated to enable funders and providers to implement each stage of transition to a regularised workforce. An expectation of funding for regularisation is that funding allocation should be linked to contractual performance.</w:t>
            </w:r>
          </w:p>
          <w:tbl>
            <w:tblPr>
              <w:tblW w:w="0" w:type="auto"/>
              <w:tblInd w:w="425"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Look w:val="04A0" w:firstRow="1" w:lastRow="0" w:firstColumn="1" w:lastColumn="0" w:noHBand="0" w:noVBand="1"/>
            </w:tblPr>
            <w:tblGrid>
              <w:gridCol w:w="3431"/>
              <w:gridCol w:w="8080"/>
            </w:tblGrid>
            <w:tr w:rsidR="007C56CE" w:rsidRPr="003E7106" w:rsidTr="00565944">
              <w:trPr>
                <w:cantSplit/>
              </w:trPr>
              <w:tc>
                <w:tcPr>
                  <w:tcW w:w="3431" w:type="dxa"/>
                </w:tcPr>
                <w:p w:rsidR="007C56CE" w:rsidRPr="003E7106" w:rsidRDefault="007C56CE" w:rsidP="00AC68E0">
                  <w:pPr>
                    <w:pStyle w:val="TableText"/>
                    <w:rPr>
                      <w:rFonts w:cs="Arial"/>
                    </w:rPr>
                  </w:pPr>
                  <w:r w:rsidRPr="003E7106">
                    <w:t xml:space="preserve">The cost </w:t>
                  </w:r>
                  <w:r w:rsidRPr="003E7106">
                    <w:rPr>
                      <w:rFonts w:cs="Arial"/>
                    </w:rPr>
                    <w:t>implications of:</w:t>
                  </w:r>
                </w:p>
              </w:tc>
              <w:tc>
                <w:tcPr>
                  <w:tcW w:w="8080" w:type="dxa"/>
                </w:tcPr>
                <w:p w:rsidR="007C56CE" w:rsidRPr="003E7106" w:rsidRDefault="007C56CE" w:rsidP="00AC68E0">
                  <w:pPr>
                    <w:pStyle w:val="TableText"/>
                    <w:rPr>
                      <w:rFonts w:cs="Arial"/>
                    </w:rPr>
                  </w:pPr>
                  <w:r w:rsidRPr="003E7106">
                    <w:rPr>
                      <w:rFonts w:cs="Arial"/>
                    </w:rPr>
                    <w:t>have been estimated at an increase to current baseline funding of:</w:t>
                  </w:r>
                </w:p>
              </w:tc>
            </w:tr>
            <w:tr w:rsidR="007C56CE" w:rsidRPr="003E7106" w:rsidTr="00565944">
              <w:trPr>
                <w:cantSplit/>
              </w:trPr>
              <w:tc>
                <w:tcPr>
                  <w:tcW w:w="3431" w:type="dxa"/>
                </w:tcPr>
                <w:p w:rsidR="007C56CE" w:rsidRPr="003E7106" w:rsidRDefault="007C56CE" w:rsidP="00565944">
                  <w:pPr>
                    <w:pStyle w:val="TableText"/>
                    <w:ind w:left="425" w:hanging="425"/>
                  </w:pPr>
                  <w:r w:rsidRPr="003E7106">
                    <w:t>i)</w:t>
                  </w:r>
                  <w:r w:rsidRPr="003E7106">
                    <w:tab/>
                    <w:t>Support Worker wages being paid on the basis of the required levels of training</w:t>
                  </w:r>
                </w:p>
              </w:tc>
              <w:tc>
                <w:tcPr>
                  <w:tcW w:w="8080" w:type="dxa"/>
                </w:tcPr>
                <w:p w:rsidR="007C56CE" w:rsidRPr="003E7106" w:rsidRDefault="007C56CE" w:rsidP="00AC68E0">
                  <w:pPr>
                    <w:pStyle w:val="TableText"/>
                    <w:rPr>
                      <w:rFonts w:cs="Arial"/>
                    </w:rPr>
                  </w:pPr>
                  <w:r w:rsidRPr="003E7106">
                    <w:rPr>
                      <w:rFonts w:cs="Arial"/>
                    </w:rPr>
                    <w:t>between 5.87% and 14.6 % (with the higher rate aligned to a remuneration framework comparable to that applicable to DHB-employed Health Care Assistants)</w:t>
                  </w:r>
                </w:p>
              </w:tc>
            </w:tr>
            <w:tr w:rsidR="007C56CE" w:rsidRPr="003E7106" w:rsidTr="00565944">
              <w:trPr>
                <w:cantSplit/>
              </w:trPr>
              <w:tc>
                <w:tcPr>
                  <w:tcW w:w="3431" w:type="dxa"/>
                </w:tcPr>
                <w:p w:rsidR="007C56CE" w:rsidRPr="003E7106" w:rsidRDefault="007C56CE" w:rsidP="00565944">
                  <w:pPr>
                    <w:pStyle w:val="TableText"/>
                    <w:ind w:left="425" w:hanging="425"/>
                  </w:pPr>
                  <w:r w:rsidRPr="003E7106">
                    <w:t>ii)</w:t>
                  </w:r>
                  <w:r w:rsidRPr="003E7106">
                    <w:tab/>
                    <w:t>providing paid training time to enable obtaining the Level 3 New Zealand Certificate qualification</w:t>
                  </w:r>
                </w:p>
              </w:tc>
              <w:tc>
                <w:tcPr>
                  <w:tcW w:w="8080" w:type="dxa"/>
                </w:tcPr>
                <w:p w:rsidR="007C56CE" w:rsidRPr="003E7106" w:rsidRDefault="007C56CE" w:rsidP="00AC68E0">
                  <w:pPr>
                    <w:pStyle w:val="TableText"/>
                    <w:rPr>
                      <w:rFonts w:cs="Arial"/>
                    </w:rPr>
                  </w:pPr>
                  <w:r w:rsidRPr="003E7106">
                    <w:rPr>
                      <w:rFonts w:cs="Arial"/>
                    </w:rPr>
                    <w:t>1.17%</w:t>
                  </w:r>
                </w:p>
              </w:tc>
            </w:tr>
            <w:tr w:rsidR="007C56CE" w:rsidRPr="003E7106" w:rsidTr="00565944">
              <w:trPr>
                <w:cantSplit/>
              </w:trPr>
              <w:tc>
                <w:tcPr>
                  <w:tcW w:w="3431" w:type="dxa"/>
                </w:tcPr>
                <w:p w:rsidR="007C56CE" w:rsidRPr="003E7106" w:rsidRDefault="007C56CE" w:rsidP="00565944">
                  <w:pPr>
                    <w:pStyle w:val="TableText"/>
                    <w:ind w:left="425" w:hanging="425"/>
                  </w:pPr>
                  <w:r w:rsidRPr="003E7106">
                    <w:t>iii)</w:t>
                  </w:r>
                  <w:r w:rsidRPr="003E7106">
                    <w:tab/>
                    <w:t>the majority of support workers being employed on guaranteed hours</w:t>
                  </w:r>
                </w:p>
              </w:tc>
              <w:tc>
                <w:tcPr>
                  <w:tcW w:w="8080" w:type="dxa"/>
                </w:tcPr>
                <w:p w:rsidR="007C56CE" w:rsidRPr="003E7106" w:rsidRDefault="007C56CE" w:rsidP="00AC68E0">
                  <w:pPr>
                    <w:pStyle w:val="TableText"/>
                    <w:rPr>
                      <w:rFonts w:cs="Arial"/>
                    </w:rPr>
                  </w:pPr>
                  <w:r w:rsidRPr="003E7106">
                    <w:rPr>
                      <w:rFonts w:cs="Arial"/>
                    </w:rPr>
                    <w:t>2.49%, which includes:</w:t>
                  </w:r>
                </w:p>
                <w:p w:rsidR="007C56CE" w:rsidRPr="003E7106" w:rsidRDefault="007C56CE" w:rsidP="00565944">
                  <w:pPr>
                    <w:pStyle w:val="TableText"/>
                    <w:ind w:left="425" w:hanging="425"/>
                    <w:rPr>
                      <w:rFonts w:cs="Arial"/>
                    </w:rPr>
                  </w:pPr>
                  <w:r w:rsidRPr="003E7106">
                    <w:rPr>
                      <w:rFonts w:cs="Arial"/>
                    </w:rPr>
                    <w:t>a.</w:t>
                  </w:r>
                  <w:r w:rsidRPr="003E7106">
                    <w:rPr>
                      <w:rFonts w:cs="Arial"/>
                    </w:rPr>
                    <w:tab/>
                    <w:t>a</w:t>
                  </w:r>
                  <w:r w:rsidRPr="003E7106">
                    <w:t xml:space="preserve"> time allowance of 0.5 hours per week per Support Worker of non-revenue-generating time (meetings, supervision, quality control, mentoring)</w:t>
                  </w:r>
                </w:p>
                <w:p w:rsidR="007C56CE" w:rsidRPr="003E7106" w:rsidRDefault="007C56CE" w:rsidP="00565944">
                  <w:pPr>
                    <w:pStyle w:val="TableText"/>
                    <w:ind w:left="425" w:hanging="425"/>
                    <w:rPr>
                      <w:rFonts w:cs="Arial"/>
                    </w:rPr>
                  </w:pPr>
                  <w:r w:rsidRPr="003E7106">
                    <w:rPr>
                      <w:rFonts w:cs="Arial"/>
                    </w:rPr>
                    <w:t>b.</w:t>
                  </w:r>
                  <w:r w:rsidRPr="003E7106">
                    <w:rPr>
                      <w:rFonts w:cs="Arial"/>
                    </w:rPr>
                    <w:tab/>
                    <w:t>a 3% addition to price, in recognition of the risk of being required to pay workers for non-revenue-generating time (where 51% of Support Workers are employed on guaranteed hours)(</w:t>
                  </w:r>
                  <w:r w:rsidRPr="003E7106">
                    <w:t xml:space="preserve">may increase up to an estimated 20% when 80% </w:t>
                  </w:r>
                  <w:r w:rsidRPr="003E7106">
                    <w:rPr>
                      <w:rFonts w:cs="Arial"/>
                    </w:rPr>
                    <w:t>are employed on guaranteed hours).</w:t>
                  </w:r>
                </w:p>
              </w:tc>
            </w:tr>
          </w:tbl>
          <w:p w:rsidR="007C56CE" w:rsidRPr="003E7106" w:rsidRDefault="007C56CE" w:rsidP="00565944">
            <w:pPr>
              <w:pStyle w:val="TableText"/>
              <w:ind w:left="425"/>
            </w:pPr>
            <w:r w:rsidRPr="003E7106">
              <w:t>The cumulative cost implications are an increase to baseline of between 11.54% ($60.23 million) and 20.74% ($108.26 million),</w:t>
            </w:r>
            <w:r w:rsidRPr="003E7106">
              <w:rPr>
                <w:rFonts w:cs="Arial"/>
              </w:rPr>
              <w:t xml:space="preserve"> with the higher rate aligned to a remuneration framework comparable to that applicable to DHB-employed Health Care Assistants.</w:t>
            </w:r>
          </w:p>
          <w:p w:rsidR="007C56CE" w:rsidRPr="003E7106" w:rsidRDefault="007C56CE" w:rsidP="00565944">
            <w:pPr>
              <w:pStyle w:val="TableText"/>
              <w:ind w:left="425"/>
            </w:pPr>
            <w:r w:rsidRPr="003E7106">
              <w:t>The 2013/14 DHB and Ministry of Health Disability Support Services (DSS) actual spend, plus budgeted In-Between Travel funding, has been used to determine baseline costs of $522 per annum ($295 million DHB costs, $189 million DSS costs and $38 million In-Between Travel funding).</w:t>
            </w:r>
          </w:p>
          <w:p w:rsidR="007C56CE" w:rsidRPr="003E7106" w:rsidRDefault="007C56CE" w:rsidP="00565944">
            <w:pPr>
              <w:pStyle w:val="TableText"/>
              <w:ind w:left="425" w:hanging="425"/>
            </w:pPr>
            <w:r w:rsidRPr="003E7106">
              <w:t>8.</w:t>
            </w:r>
            <w:r w:rsidRPr="003E7106">
              <w:tab/>
              <w:t>Should regularisation not be implemented, many commentators (including Deloitte Touche Tohmatsu Limited</w:t>
            </w:r>
            <w:r w:rsidRPr="003E7106" w:rsidDel="003144A0">
              <w:t xml:space="preserve"> </w:t>
            </w:r>
            <w:r w:rsidRPr="003E7106">
              <w:t xml:space="preserve">in their 2015 </w:t>
            </w:r>
            <w:r w:rsidRPr="003E7106">
              <w:rPr>
                <w:i/>
              </w:rPr>
              <w:t>Financial Review &amp; Risk Analysis of the Home and Community Support Sector</w:t>
            </w:r>
            <w:r w:rsidRPr="003E7106">
              <w:t>) have argued that the HCSS sector will be unsustainable. This will have a serious ongoing negative impact on service delivery and maintenance of service quality.</w:t>
            </w:r>
          </w:p>
        </w:tc>
      </w:tr>
    </w:tbl>
    <w:p w:rsidR="00565944" w:rsidRPr="003E7106" w:rsidRDefault="00565944"/>
    <w:p w:rsidR="00565944" w:rsidRPr="003E7106" w:rsidRDefault="00565944" w:rsidP="00565944">
      <w:bookmarkStart w:id="17" w:name="_Toc423677663"/>
      <w:r w:rsidRPr="003E7106">
        <w:br w:type="page"/>
      </w:r>
    </w:p>
    <w:p w:rsidR="00565944" w:rsidRPr="003E7106" w:rsidRDefault="00565944" w:rsidP="00565944">
      <w:pPr>
        <w:pStyle w:val="Heading1"/>
      </w:pPr>
      <w:bookmarkStart w:id="18" w:name="_Toc426009386"/>
      <w:r w:rsidRPr="003E7106">
        <w:t>Recommendations for regularisation</w:t>
      </w:r>
      <w:bookmarkEnd w:id="17"/>
      <w:bookmarkEnd w:id="1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2333"/>
      </w:tblGrid>
      <w:tr w:rsidR="00565944" w:rsidRPr="003E7106" w:rsidTr="005D1FFA">
        <w:trPr>
          <w:cantSplit/>
          <w:tblHeader/>
        </w:trPr>
        <w:tc>
          <w:tcPr>
            <w:tcW w:w="2268" w:type="dxa"/>
            <w:tcBorders>
              <w:top w:val="nil"/>
              <w:left w:val="nil"/>
              <w:bottom w:val="nil"/>
              <w:right w:val="nil"/>
            </w:tcBorders>
            <w:shd w:val="clear" w:color="auto" w:fill="1F497D" w:themeFill="text2"/>
            <w:hideMark/>
          </w:tcPr>
          <w:p w:rsidR="00AE2835" w:rsidRPr="003E7106" w:rsidRDefault="00AE2835" w:rsidP="00AC68E0">
            <w:pPr>
              <w:pStyle w:val="TableText"/>
              <w:rPr>
                <w:b/>
                <w:color w:val="FFFFFF" w:themeColor="background1"/>
              </w:rPr>
            </w:pPr>
            <w:r w:rsidRPr="003E7106">
              <w:rPr>
                <w:b/>
                <w:color w:val="FFFFFF" w:themeColor="background1"/>
              </w:rPr>
              <w:t>Area</w:t>
            </w:r>
          </w:p>
        </w:tc>
        <w:tc>
          <w:tcPr>
            <w:tcW w:w="12333" w:type="dxa"/>
            <w:tcBorders>
              <w:top w:val="nil"/>
              <w:left w:val="nil"/>
              <w:bottom w:val="nil"/>
            </w:tcBorders>
            <w:shd w:val="clear" w:color="auto" w:fill="1F497D" w:themeFill="text2"/>
            <w:hideMark/>
          </w:tcPr>
          <w:p w:rsidR="00AE2835" w:rsidRPr="003E7106" w:rsidRDefault="00AE2835" w:rsidP="00AC68E0">
            <w:pPr>
              <w:pStyle w:val="TableText"/>
              <w:rPr>
                <w:b/>
                <w:color w:val="FFFFFF" w:themeColor="background1"/>
              </w:rPr>
            </w:pPr>
            <w:r w:rsidRPr="003E7106">
              <w:rPr>
                <w:b/>
                <w:color w:val="FFFFFF" w:themeColor="background1"/>
              </w:rPr>
              <w:t>Recommendations</w:t>
            </w:r>
          </w:p>
        </w:tc>
      </w:tr>
      <w:tr w:rsidR="00DD40D1" w:rsidRPr="003E7106" w:rsidTr="005D1FFA">
        <w:trPr>
          <w:cantSplit/>
        </w:trPr>
        <w:tc>
          <w:tcPr>
            <w:tcW w:w="2268" w:type="dxa"/>
            <w:tcBorders>
              <w:top w:val="nil"/>
              <w:left w:val="nil"/>
              <w:bottom w:val="nil"/>
              <w:right w:val="nil"/>
            </w:tcBorders>
            <w:shd w:val="clear" w:color="auto" w:fill="B8CCE4" w:themeFill="accent1" w:themeFillTint="66"/>
          </w:tcPr>
          <w:p w:rsidR="00DD40D1" w:rsidRPr="003E7106" w:rsidRDefault="00DD40D1" w:rsidP="00C10288">
            <w:pPr>
              <w:pStyle w:val="Heading3"/>
            </w:pPr>
            <w:r w:rsidRPr="003E7106">
              <w:t>Establishment of the Transition Group</w:t>
            </w:r>
          </w:p>
        </w:tc>
        <w:tc>
          <w:tcPr>
            <w:tcW w:w="12333" w:type="dxa"/>
            <w:tcBorders>
              <w:top w:val="nil"/>
              <w:left w:val="nil"/>
              <w:bottom w:val="nil"/>
              <w:right w:val="nil"/>
            </w:tcBorders>
            <w:shd w:val="clear" w:color="auto" w:fill="auto"/>
          </w:tcPr>
          <w:p w:rsidR="00DD40D1" w:rsidRPr="003E7106" w:rsidRDefault="00DD40D1" w:rsidP="00DD40D1">
            <w:pPr>
              <w:pStyle w:val="TableText"/>
              <w:ind w:left="425" w:hanging="425"/>
              <w:rPr>
                <w:rFonts w:cs="Arial"/>
              </w:rPr>
            </w:pPr>
            <w:r w:rsidRPr="003E7106">
              <w:rPr>
                <w:rFonts w:cs="Arial"/>
              </w:rPr>
              <w:t>1.</w:t>
            </w:r>
            <w:r w:rsidRPr="003E7106">
              <w:rPr>
                <w:rFonts w:cs="Arial"/>
              </w:rPr>
              <w:tab/>
              <w:t>A</w:t>
            </w:r>
            <w:r w:rsidRPr="003E7106">
              <w:t xml:space="preserve"> cross-sector transition group should be established to implement, assess, monitor and review progress towards the achievement of regularisation, ensuring employees have adequate independent representation, and employers are supported to comply with the settlement and legal requirements. The transition group should include representatives of the Settlement Agreement parties, including the Ministry of Health, ACC, DHBs, providers, unions, and clients. Consideration should be given to ensuring the interests of Māori, Pacific people and rural and small providers are taken into full account.</w:t>
            </w:r>
          </w:p>
        </w:tc>
      </w:tr>
      <w:tr w:rsidR="00AE2835" w:rsidRPr="003E7106" w:rsidTr="005D1FFA">
        <w:trPr>
          <w:cantSplit/>
        </w:trPr>
        <w:tc>
          <w:tcPr>
            <w:tcW w:w="2268" w:type="dxa"/>
            <w:tcBorders>
              <w:top w:val="nil"/>
              <w:left w:val="nil"/>
              <w:bottom w:val="nil"/>
              <w:right w:val="nil"/>
            </w:tcBorders>
            <w:shd w:val="clear" w:color="auto" w:fill="B8CCE4" w:themeFill="accent1" w:themeFillTint="66"/>
          </w:tcPr>
          <w:p w:rsidR="00AE2835" w:rsidRPr="003E7106" w:rsidRDefault="00AE2835" w:rsidP="00C10288">
            <w:pPr>
              <w:pStyle w:val="Heading3"/>
              <w:rPr>
                <w:rFonts w:cs="Arial"/>
              </w:rPr>
            </w:pPr>
            <w:r w:rsidRPr="003E7106">
              <w:rPr>
                <w:rFonts w:cs="Arial"/>
              </w:rPr>
              <w:t>Wage rates consistent with those in the established remuneration scale for workers performing similar tasks and requiring similar qualifications</w:t>
            </w:r>
          </w:p>
          <w:p w:rsidR="00AE2835" w:rsidRPr="003E7106" w:rsidRDefault="00AE2835" w:rsidP="00C10288">
            <w:pPr>
              <w:pStyle w:val="Heading3"/>
              <w:rPr>
                <w:rFonts w:cs="Arial"/>
                <w:color w:val="000000"/>
              </w:rPr>
            </w:pPr>
            <w:r w:rsidRPr="003E7106">
              <w:rPr>
                <w:rFonts w:cs="Arial"/>
              </w:rPr>
              <w:t>Majority of workers employed on guaranteed hours</w:t>
            </w:r>
          </w:p>
        </w:tc>
        <w:tc>
          <w:tcPr>
            <w:tcW w:w="12333" w:type="dxa"/>
            <w:tcBorders>
              <w:top w:val="nil"/>
              <w:left w:val="nil"/>
              <w:bottom w:val="nil"/>
              <w:right w:val="nil"/>
            </w:tcBorders>
            <w:shd w:val="clear" w:color="auto" w:fill="auto"/>
          </w:tcPr>
          <w:p w:rsidR="00AE2835" w:rsidRPr="003E7106" w:rsidRDefault="00565944" w:rsidP="00565944">
            <w:pPr>
              <w:pStyle w:val="TableText"/>
              <w:ind w:left="425" w:hanging="425"/>
              <w:rPr>
                <w:rFonts w:cs="Arial"/>
              </w:rPr>
            </w:pPr>
            <w:r w:rsidRPr="003E7106">
              <w:rPr>
                <w:rFonts w:cs="Arial"/>
              </w:rPr>
              <w:t>2.</w:t>
            </w:r>
            <w:r w:rsidRPr="003E7106">
              <w:rPr>
                <w:rFonts w:cs="Arial"/>
              </w:rPr>
              <w:tab/>
            </w:r>
            <w:r w:rsidR="00AE2835" w:rsidRPr="003E7106">
              <w:rPr>
                <w:rFonts w:cs="Arial"/>
              </w:rPr>
              <w:t>It is recommended that:</w:t>
            </w:r>
          </w:p>
          <w:p w:rsidR="00AE2835" w:rsidRPr="003E7106" w:rsidRDefault="00565944" w:rsidP="00565944">
            <w:pPr>
              <w:pStyle w:val="TableText"/>
              <w:ind w:left="850" w:hanging="425"/>
            </w:pPr>
            <w:r w:rsidRPr="003E7106">
              <w:t>a.</w:t>
            </w:r>
            <w:r w:rsidRPr="003E7106">
              <w:tab/>
            </w:r>
            <w:r w:rsidR="00AE2835" w:rsidRPr="003E7106">
              <w:t>wage rates be consistent with those contained in an established remuneration scale, whereby workers are expected to have comparable skills, responsibilities and knowledge to meet the needs of similar clients and undertake similar tasks (eg, Health Care Assistants working for DHBs)</w:t>
            </w:r>
          </w:p>
          <w:p w:rsidR="00AE2835" w:rsidRPr="003E7106" w:rsidRDefault="00565944" w:rsidP="00565944">
            <w:pPr>
              <w:pStyle w:val="TableText"/>
              <w:ind w:left="850" w:hanging="425"/>
            </w:pPr>
            <w:r w:rsidRPr="003E7106">
              <w:t>b.</w:t>
            </w:r>
            <w:r w:rsidRPr="003E7106">
              <w:tab/>
            </w:r>
            <w:r w:rsidR="00AE2835" w:rsidRPr="003E7106">
              <w:t>funding be included in a consistent price/cost model to enable paid training to Level 3 for all Support Workers.</w:t>
            </w:r>
          </w:p>
          <w:p w:rsidR="00AE2835" w:rsidRPr="003E7106" w:rsidRDefault="00565944" w:rsidP="00AC68E0">
            <w:pPr>
              <w:pStyle w:val="TableText"/>
              <w:rPr>
                <w:rFonts w:cs="Arial"/>
              </w:rPr>
            </w:pPr>
            <w:r w:rsidRPr="003E7106">
              <w:rPr>
                <w:rFonts w:cs="Arial"/>
              </w:rPr>
              <w:t>3.</w:t>
            </w:r>
            <w:r w:rsidRPr="003E7106">
              <w:rPr>
                <w:rFonts w:cs="Arial"/>
              </w:rPr>
              <w:tab/>
            </w:r>
            <w:r w:rsidR="00AE2835" w:rsidRPr="003E7106">
              <w:rPr>
                <w:rFonts w:cs="Arial"/>
              </w:rPr>
              <w:t>It is recommended that:</w:t>
            </w:r>
          </w:p>
          <w:p w:rsidR="00AE2835" w:rsidRPr="003E7106" w:rsidRDefault="00565944" w:rsidP="00565944">
            <w:pPr>
              <w:pStyle w:val="TableText"/>
              <w:ind w:left="850" w:hanging="425"/>
            </w:pPr>
            <w:r w:rsidRPr="003E7106">
              <w:t>a.</w:t>
            </w:r>
            <w:r w:rsidRPr="003E7106">
              <w:tab/>
            </w:r>
            <w:r w:rsidR="00AE2835" w:rsidRPr="003E7106">
              <w:t>provisions covering employment status, guaranteed hours and changes to employee hours of work be included in employment agreements</w:t>
            </w:r>
          </w:p>
          <w:p w:rsidR="0082259D" w:rsidRPr="003E7106" w:rsidRDefault="00565944" w:rsidP="00565944">
            <w:pPr>
              <w:pStyle w:val="TableText"/>
              <w:ind w:left="850" w:hanging="425"/>
            </w:pPr>
            <w:r w:rsidRPr="003E7106">
              <w:t>b.</w:t>
            </w:r>
            <w:r w:rsidRPr="003E7106">
              <w:tab/>
            </w:r>
            <w:r w:rsidR="00AE2835" w:rsidRPr="003E7106">
              <w:t>the initial level of guaranteed hours be set at the 51% model, taking into consideration the associated caveat regarding funding availability</w:t>
            </w:r>
          </w:p>
          <w:p w:rsidR="00AE2835" w:rsidRPr="003E7106" w:rsidRDefault="00AE2835" w:rsidP="00565944">
            <w:pPr>
              <w:pStyle w:val="TableText"/>
              <w:ind w:left="850"/>
            </w:pPr>
            <w:r w:rsidRPr="003E7106">
              <w:t xml:space="preserve">[Under the 51% model, providers are expected to achieve the following </w:t>
            </w:r>
            <w:r w:rsidRPr="003E7106">
              <w:rPr>
                <w:i/>
              </w:rPr>
              <w:t xml:space="preserve">minimum </w:t>
            </w:r>
            <w:r w:rsidRPr="003E7106">
              <w:t>targets for guaranteed hours by the end of the first year:</w:t>
            </w:r>
          </w:p>
          <w:p w:rsidR="00AE2835" w:rsidRPr="003E7106" w:rsidRDefault="00AE2835" w:rsidP="00565944">
            <w:pPr>
              <w:pStyle w:val="TableBullet"/>
            </w:pPr>
            <w:r w:rsidRPr="003E7106">
              <w:t>a minimum of 51% of each provider</w:t>
            </w:r>
            <w:r w:rsidR="0082259D" w:rsidRPr="003E7106">
              <w:t>’</w:t>
            </w:r>
            <w:r w:rsidRPr="003E7106">
              <w:t>s total workforce has guaranteed hours</w:t>
            </w:r>
          </w:p>
          <w:p w:rsidR="00AE2835" w:rsidRPr="003E7106" w:rsidRDefault="00AE2835" w:rsidP="00565944">
            <w:pPr>
              <w:pStyle w:val="TableBullet"/>
              <w:rPr>
                <w:i/>
              </w:rPr>
            </w:pPr>
            <w:r w:rsidRPr="003E7106">
              <w:t>a minimum of 51% of each provider</w:t>
            </w:r>
            <w:r w:rsidR="0082259D" w:rsidRPr="003E7106">
              <w:t>’</w:t>
            </w:r>
            <w:r w:rsidRPr="003E7106">
              <w:t>s contracted hours will be guaranteed</w:t>
            </w:r>
          </w:p>
          <w:p w:rsidR="00AE2835" w:rsidRPr="003E7106" w:rsidRDefault="00AE2835" w:rsidP="00565944">
            <w:pPr>
              <w:pStyle w:val="TableBullet"/>
            </w:pPr>
            <w:r w:rsidRPr="003E7106">
              <w:t>each Support Worker with guaranteed hours will have their last three months of hours reviewed, and the hours deemed to be permanent will make up the number of hours guaranteed, to a maximum of 40 hours per week.]</w:t>
            </w:r>
          </w:p>
          <w:p w:rsidR="0082259D" w:rsidRPr="003E7106" w:rsidRDefault="00565944" w:rsidP="00565944">
            <w:pPr>
              <w:pStyle w:val="TableText"/>
              <w:ind w:left="850" w:hanging="425"/>
            </w:pPr>
            <w:r w:rsidRPr="003E7106">
              <w:t>c.</w:t>
            </w:r>
            <w:r w:rsidRPr="003E7106">
              <w:tab/>
            </w:r>
            <w:r w:rsidR="00AE2835" w:rsidRPr="003E7106">
              <w:t>the percentage of workers on guaranteed hours increase over time to meet s</w:t>
            </w:r>
            <w:r w:rsidR="00DD40D1" w:rsidRPr="003E7106">
              <w:t>taged implementation milestones</w:t>
            </w:r>
          </w:p>
          <w:p w:rsidR="00AE2835" w:rsidRPr="003E7106" w:rsidRDefault="00AE2835" w:rsidP="00565944">
            <w:pPr>
              <w:pStyle w:val="TableText"/>
              <w:ind w:left="850"/>
            </w:pPr>
            <w:r w:rsidRPr="003E7106">
              <w:t xml:space="preserve">[Over a three-year period from the date of the signing of the Settlement Agreement, all providers </w:t>
            </w:r>
            <w:r w:rsidRPr="003E7106" w:rsidDel="00F07D85">
              <w:t xml:space="preserve">will be </w:t>
            </w:r>
            <w:r w:rsidRPr="003E7106">
              <w:t>required to work towards the aspirational goal of 80% of their workforce being on guaranteed hours (taking into account the requirements of the Employment Relations Act 2000).]</w:t>
            </w:r>
          </w:p>
          <w:p w:rsidR="0082259D" w:rsidRPr="003E7106" w:rsidRDefault="00565944" w:rsidP="00565944">
            <w:pPr>
              <w:pStyle w:val="TableText"/>
              <w:ind w:left="850" w:hanging="425"/>
            </w:pPr>
            <w:r w:rsidRPr="003E7106">
              <w:t>d.</w:t>
            </w:r>
            <w:r w:rsidRPr="003E7106">
              <w:tab/>
            </w:r>
            <w:r w:rsidR="00AE2835" w:rsidRPr="003E7106">
              <w:t>the price/cost model include a percentage to recognise provider risk (nominally set at 3%).</w:t>
            </w:r>
          </w:p>
          <w:p w:rsidR="00AE2835" w:rsidRPr="003E7106" w:rsidRDefault="00AE2835" w:rsidP="00565944">
            <w:pPr>
              <w:pStyle w:val="TableText"/>
              <w:ind w:left="850"/>
            </w:pPr>
            <w:r w:rsidRPr="003E7106">
              <w:t>[Australian reports indicate the level of risk increases up to 20% depending on the percentage of a worker</w:t>
            </w:r>
            <w:r w:rsidR="0082259D" w:rsidRPr="003E7106">
              <w:t>’</w:t>
            </w:r>
            <w:r w:rsidRPr="003E7106">
              <w:t>s hours that are guaranteed and the degree of client choice taken into consideration.]</w:t>
            </w:r>
          </w:p>
          <w:p w:rsidR="00AE2835" w:rsidRPr="003E7106" w:rsidRDefault="00565944" w:rsidP="00565944">
            <w:pPr>
              <w:pStyle w:val="TableText"/>
              <w:ind w:left="850" w:hanging="425"/>
            </w:pPr>
            <w:r w:rsidRPr="003E7106">
              <w:t>e.</w:t>
            </w:r>
            <w:r w:rsidRPr="003E7106">
              <w:tab/>
            </w:r>
            <w:r w:rsidR="00AE2835" w:rsidRPr="003E7106">
              <w:t>more work be undertaken to ascertain the level of risk that needs to be included in the price/cost model for providers before implementation, because the current figure of 3% is an estimate developed to illustrate the price/cost model and needs to be subject to further consideration</w:t>
            </w:r>
          </w:p>
          <w:p w:rsidR="00AE2835" w:rsidRPr="003E7106" w:rsidRDefault="00DD40D1" w:rsidP="00565944">
            <w:pPr>
              <w:pStyle w:val="TableText"/>
              <w:ind w:left="850" w:hanging="425"/>
            </w:pPr>
            <w:r w:rsidRPr="003E7106">
              <w:t>f.</w:t>
            </w:r>
            <w:r w:rsidRPr="003E7106">
              <w:tab/>
            </w:r>
            <w:r w:rsidR="00AE2835" w:rsidRPr="003E7106">
              <w:t>further investigation be undertaken into the impact of guaranteed hours on client choice and what can be done to address this</w:t>
            </w:r>
          </w:p>
          <w:p w:rsidR="00AE2835" w:rsidRPr="003E7106" w:rsidRDefault="00DD40D1" w:rsidP="00565944">
            <w:pPr>
              <w:pStyle w:val="TableText"/>
              <w:ind w:left="850" w:hanging="425"/>
              <w:rPr>
                <w:rFonts w:cs="Arial"/>
              </w:rPr>
            </w:pPr>
            <w:r w:rsidRPr="003E7106">
              <w:t>g.</w:t>
            </w:r>
            <w:r w:rsidRPr="003E7106">
              <w:tab/>
            </w:r>
            <w:r w:rsidR="00AE2835" w:rsidRPr="003E7106">
              <w:t>change management processes be agreed in advance of the introduction of guaranteed hours.</w:t>
            </w:r>
          </w:p>
        </w:tc>
      </w:tr>
      <w:tr w:rsidR="00DD40D1" w:rsidRPr="003E7106" w:rsidTr="005D1FFA">
        <w:trPr>
          <w:cantSplit/>
        </w:trPr>
        <w:tc>
          <w:tcPr>
            <w:tcW w:w="2268" w:type="dxa"/>
            <w:tcBorders>
              <w:top w:val="nil"/>
              <w:left w:val="nil"/>
              <w:bottom w:val="nil"/>
              <w:right w:val="nil"/>
            </w:tcBorders>
            <w:shd w:val="clear" w:color="auto" w:fill="B8CCE4" w:themeFill="accent1" w:themeFillTint="66"/>
          </w:tcPr>
          <w:p w:rsidR="00DD40D1" w:rsidRPr="003E7106" w:rsidRDefault="00DD40D1" w:rsidP="00C10288">
            <w:pPr>
              <w:pStyle w:val="Heading3"/>
            </w:pPr>
            <w:r w:rsidRPr="003E7106">
              <w:t>Enable training to Level 3 within two years</w:t>
            </w:r>
          </w:p>
        </w:tc>
        <w:tc>
          <w:tcPr>
            <w:tcW w:w="12333" w:type="dxa"/>
            <w:tcBorders>
              <w:top w:val="nil"/>
              <w:left w:val="nil"/>
              <w:bottom w:val="nil"/>
              <w:right w:val="nil"/>
            </w:tcBorders>
            <w:shd w:val="clear" w:color="auto" w:fill="auto"/>
          </w:tcPr>
          <w:p w:rsidR="00DD40D1" w:rsidRPr="003E7106" w:rsidRDefault="00DD40D1" w:rsidP="00DD40D1">
            <w:pPr>
              <w:pStyle w:val="TableText"/>
              <w:ind w:left="425" w:hanging="425"/>
              <w:rPr>
                <w:rFonts w:cs="Arial"/>
              </w:rPr>
            </w:pPr>
            <w:r w:rsidRPr="003E7106">
              <w:rPr>
                <w:rFonts w:cs="Arial"/>
              </w:rPr>
              <w:t>4.</w:t>
            </w:r>
            <w:r w:rsidRPr="003E7106">
              <w:rPr>
                <w:rFonts w:cs="Arial"/>
              </w:rPr>
              <w:tab/>
              <w:t>It is recommended that the following arrangements for training be implemented:</w:t>
            </w:r>
          </w:p>
          <w:p w:rsidR="00DD40D1" w:rsidRPr="003E7106" w:rsidRDefault="00DD40D1" w:rsidP="00DD40D1">
            <w:pPr>
              <w:pStyle w:val="TableText"/>
              <w:ind w:left="850" w:hanging="425"/>
            </w:pPr>
            <w:r w:rsidRPr="003E7106">
              <w:t>a.</w:t>
            </w:r>
            <w:r w:rsidRPr="003E7106">
              <w:tab/>
              <w:t>all Support Workers are enabled to undertake training for a Level 3 qualification within two years of commencing work</w:t>
            </w:r>
          </w:p>
          <w:p w:rsidR="00DD40D1" w:rsidRPr="003E7106" w:rsidRDefault="00DD40D1" w:rsidP="00DD40D1">
            <w:pPr>
              <w:pStyle w:val="TableText"/>
              <w:ind w:left="850" w:hanging="425"/>
            </w:pPr>
            <w:r w:rsidRPr="003E7106">
              <w:t>b.</w:t>
            </w:r>
            <w:r w:rsidRPr="003E7106">
              <w:tab/>
              <w:t>Support Workers are paid for training at their usual hourly rate</w:t>
            </w:r>
          </w:p>
          <w:p w:rsidR="00DD40D1" w:rsidRPr="003E7106" w:rsidRDefault="00DD40D1" w:rsidP="00DD40D1">
            <w:pPr>
              <w:pStyle w:val="TableText"/>
              <w:ind w:left="850" w:hanging="425"/>
              <w:rPr>
                <w:rFonts w:cs="Arial"/>
              </w:rPr>
            </w:pPr>
            <w:r w:rsidRPr="003E7106">
              <w:t>c.</w:t>
            </w:r>
            <w:r w:rsidRPr="003E7106">
              <w:tab/>
              <w:t>training (normally) takes place at work using an embedded (in-house) training model.</w:t>
            </w:r>
          </w:p>
        </w:tc>
      </w:tr>
      <w:tr w:rsidR="00611E83" w:rsidRPr="003E7106" w:rsidTr="005D1FFA">
        <w:trPr>
          <w:cantSplit/>
        </w:trPr>
        <w:tc>
          <w:tcPr>
            <w:tcW w:w="2268" w:type="dxa"/>
            <w:vMerge w:val="restart"/>
            <w:tcBorders>
              <w:top w:val="nil"/>
              <w:left w:val="nil"/>
              <w:right w:val="nil"/>
            </w:tcBorders>
            <w:shd w:val="clear" w:color="auto" w:fill="B8CCE4" w:themeFill="accent1" w:themeFillTint="66"/>
          </w:tcPr>
          <w:p w:rsidR="00611E83" w:rsidRPr="003E7106" w:rsidRDefault="00611E83" w:rsidP="00C10288">
            <w:pPr>
              <w:pStyle w:val="Heading3"/>
              <w:rPr>
                <w:rFonts w:cs="Arial"/>
              </w:rPr>
            </w:pPr>
            <w:r w:rsidRPr="003E7106">
              <w:t>Implementation of a national service-level contract</w:t>
            </w:r>
          </w:p>
          <w:p w:rsidR="00611E83" w:rsidRPr="003E7106" w:rsidRDefault="00611E83" w:rsidP="00C10288">
            <w:pPr>
              <w:pStyle w:val="Heading3"/>
              <w:rPr>
                <w:rFonts w:cs="Arial"/>
              </w:rPr>
            </w:pPr>
            <w:r w:rsidRPr="003E7106">
              <w:t>Determining the funding envelope for service delivery</w:t>
            </w:r>
          </w:p>
        </w:tc>
        <w:tc>
          <w:tcPr>
            <w:tcW w:w="12333" w:type="dxa"/>
            <w:tcBorders>
              <w:top w:val="nil"/>
              <w:left w:val="nil"/>
              <w:bottom w:val="nil"/>
              <w:right w:val="nil"/>
            </w:tcBorders>
            <w:shd w:val="clear" w:color="auto" w:fill="auto"/>
          </w:tcPr>
          <w:p w:rsidR="00611E83" w:rsidRPr="003E7106" w:rsidRDefault="00611E83" w:rsidP="00DD40D1">
            <w:pPr>
              <w:pStyle w:val="TableText"/>
              <w:ind w:left="425" w:hanging="425"/>
            </w:pPr>
            <w:r w:rsidRPr="003E7106">
              <w:rPr>
                <w:rFonts w:cs="Arial"/>
              </w:rPr>
              <w:t>5.</w:t>
            </w:r>
            <w:r w:rsidRPr="003E7106">
              <w:rPr>
                <w:rFonts w:cs="Arial"/>
              </w:rPr>
              <w:tab/>
              <w:t>A</w:t>
            </w:r>
            <w:r w:rsidRPr="003E7106">
              <w:t xml:space="preserve"> national service-level contract that includes service delivery specifications similar to the Aged Related Residential Care Agreement (ARCC) model be implemented.</w:t>
            </w:r>
          </w:p>
        </w:tc>
      </w:tr>
      <w:tr w:rsidR="00611E83" w:rsidRPr="003E7106" w:rsidTr="005D1FFA">
        <w:trPr>
          <w:cantSplit/>
        </w:trPr>
        <w:tc>
          <w:tcPr>
            <w:tcW w:w="2268" w:type="dxa"/>
            <w:vMerge/>
            <w:tcBorders>
              <w:left w:val="nil"/>
              <w:bottom w:val="nil"/>
              <w:right w:val="nil"/>
            </w:tcBorders>
            <w:shd w:val="clear" w:color="auto" w:fill="B8CCE4" w:themeFill="accent1" w:themeFillTint="66"/>
          </w:tcPr>
          <w:p w:rsidR="00611E83" w:rsidRPr="003E7106" w:rsidRDefault="00611E83" w:rsidP="00C10288">
            <w:pPr>
              <w:pStyle w:val="Heading3"/>
            </w:pPr>
          </w:p>
        </w:tc>
        <w:tc>
          <w:tcPr>
            <w:tcW w:w="12333" w:type="dxa"/>
            <w:tcBorders>
              <w:top w:val="nil"/>
              <w:left w:val="nil"/>
              <w:bottom w:val="nil"/>
              <w:right w:val="nil"/>
            </w:tcBorders>
            <w:shd w:val="clear" w:color="auto" w:fill="auto"/>
          </w:tcPr>
          <w:p w:rsidR="00611E83" w:rsidRPr="003E7106" w:rsidRDefault="00611E83" w:rsidP="00DD40D1">
            <w:pPr>
              <w:pStyle w:val="TableText"/>
              <w:rPr>
                <w:rFonts w:cs="Arial"/>
              </w:rPr>
            </w:pPr>
            <w:r w:rsidRPr="003E7106">
              <w:rPr>
                <w:rFonts w:cs="Arial"/>
              </w:rPr>
              <w:t>6.</w:t>
            </w:r>
            <w:r w:rsidRPr="003E7106">
              <w:rPr>
                <w:rFonts w:cs="Arial"/>
              </w:rPr>
              <w:tab/>
              <w:t>It is recommended that:</w:t>
            </w:r>
          </w:p>
          <w:p w:rsidR="00611E83" w:rsidRPr="003E7106" w:rsidRDefault="00611E83" w:rsidP="00DD40D1">
            <w:pPr>
              <w:pStyle w:val="TableText"/>
              <w:ind w:left="850" w:hanging="425"/>
            </w:pPr>
            <w:r w:rsidRPr="003E7106">
              <w:t>a.</w:t>
            </w:r>
            <w:r w:rsidRPr="003E7106">
              <w:tab/>
              <w:t>progress towards implementation of the Health of Older Persons’ client assessment model (InterRAI) assessment be accelerated, with full implementation expected by the end of 2016</w:t>
            </w:r>
          </w:p>
          <w:p w:rsidR="00611E83" w:rsidRPr="003E7106" w:rsidRDefault="00611E83" w:rsidP="00DD40D1">
            <w:pPr>
              <w:pStyle w:val="TableText"/>
              <w:ind w:left="850" w:hanging="425"/>
            </w:pPr>
            <w:r w:rsidRPr="003E7106">
              <w:t>b.</w:t>
            </w:r>
            <w:r w:rsidRPr="003E7106">
              <w:tab/>
              <w:t>funders determine their funding envelope for HCSS based on identified packages of care and service volumes</w:t>
            </w:r>
          </w:p>
          <w:p w:rsidR="00611E83" w:rsidRPr="003E7106" w:rsidRDefault="00611E83" w:rsidP="00DD40D1">
            <w:pPr>
              <w:pStyle w:val="TableText"/>
              <w:ind w:left="850" w:hanging="425"/>
            </w:pPr>
            <w:r w:rsidRPr="003E7106">
              <w:t>c.</w:t>
            </w:r>
            <w:r w:rsidRPr="003E7106">
              <w:tab/>
              <w:t>funders determine packages of care for recipients of HCSS, based on assessment outcomes</w:t>
            </w:r>
          </w:p>
          <w:p w:rsidR="00611E83" w:rsidRPr="003E7106" w:rsidRDefault="00611E83" w:rsidP="00DD40D1">
            <w:pPr>
              <w:pStyle w:val="TableText"/>
              <w:ind w:left="850" w:hanging="425"/>
            </w:pPr>
            <w:r w:rsidRPr="003E7106">
              <w:t>d.</w:t>
            </w:r>
            <w:r w:rsidRPr="003E7106">
              <w:tab/>
              <w:t>funding is based on agreed national average inputs per case-mix category.</w:t>
            </w:r>
          </w:p>
          <w:p w:rsidR="00611E83" w:rsidRPr="003E7106" w:rsidRDefault="00611E83" w:rsidP="00DD40D1">
            <w:pPr>
              <w:pStyle w:val="TableText"/>
              <w:ind w:left="425"/>
              <w:rPr>
                <w:rFonts w:cs="Arial"/>
              </w:rPr>
            </w:pPr>
            <w:r w:rsidRPr="003E7106">
              <w:t>[Each client is allocated a ‘package of care’ based on their InterRAI-assessed case-mix category. Each case-mix category funding would be based on agreed national average inputs (with nationally agreed maximum inputs per case-mix category), calculated at the agreed national pricing level. Those clients requiring services above the nationally agreed maximum inputs per case mix are agreed between the parties and funded on a ‘fee-for-service’ basis.]</w:t>
            </w:r>
          </w:p>
        </w:tc>
      </w:tr>
      <w:tr w:rsidR="005D1FFA" w:rsidRPr="003E7106" w:rsidTr="005D1FFA">
        <w:trPr>
          <w:cantSplit/>
        </w:trPr>
        <w:tc>
          <w:tcPr>
            <w:tcW w:w="2268" w:type="dxa"/>
            <w:tcBorders>
              <w:top w:val="nil"/>
              <w:left w:val="nil"/>
              <w:bottom w:val="nil"/>
              <w:right w:val="nil"/>
            </w:tcBorders>
            <w:shd w:val="clear" w:color="auto" w:fill="B8CCE4" w:themeFill="accent1" w:themeFillTint="66"/>
          </w:tcPr>
          <w:p w:rsidR="005D1FFA" w:rsidRPr="003E7106" w:rsidRDefault="005D1FFA" w:rsidP="00C10288">
            <w:pPr>
              <w:pStyle w:val="Heading3"/>
            </w:pPr>
            <w:r w:rsidRPr="003E7106">
              <w:t>Application of a price/cost model to identify service delivery costs</w:t>
            </w:r>
          </w:p>
          <w:p w:rsidR="005D1FFA" w:rsidRPr="003E7106" w:rsidRDefault="005D1FFA" w:rsidP="00C10288">
            <w:pPr>
              <w:pStyle w:val="Heading3"/>
            </w:pPr>
            <w:r w:rsidRPr="003E7106">
              <w:t>Price/cost to be reviewed annually</w:t>
            </w:r>
          </w:p>
          <w:p w:rsidR="005D1FFA" w:rsidRPr="003E7106" w:rsidRDefault="005D1FFA" w:rsidP="00C10288">
            <w:pPr>
              <w:pStyle w:val="Heading3"/>
            </w:pPr>
            <w:r w:rsidRPr="003E7106">
              <w:t>Reporting, monitoring and compliance</w:t>
            </w:r>
          </w:p>
        </w:tc>
        <w:tc>
          <w:tcPr>
            <w:tcW w:w="12333" w:type="dxa"/>
            <w:tcBorders>
              <w:top w:val="nil"/>
              <w:left w:val="nil"/>
              <w:bottom w:val="nil"/>
              <w:right w:val="nil"/>
            </w:tcBorders>
            <w:shd w:val="clear" w:color="auto" w:fill="auto"/>
          </w:tcPr>
          <w:p w:rsidR="005D1FFA" w:rsidRPr="003E7106" w:rsidRDefault="005D1FFA" w:rsidP="00257109">
            <w:pPr>
              <w:pStyle w:val="TableText"/>
              <w:rPr>
                <w:rFonts w:cs="Arial"/>
              </w:rPr>
            </w:pPr>
            <w:r w:rsidRPr="003E7106">
              <w:rPr>
                <w:rFonts w:cs="Arial"/>
              </w:rPr>
              <w:t>7.</w:t>
            </w:r>
            <w:r w:rsidRPr="003E7106">
              <w:rPr>
                <w:rFonts w:cs="Arial"/>
              </w:rPr>
              <w:tab/>
              <w:t>It is recommended that:</w:t>
            </w:r>
          </w:p>
          <w:p w:rsidR="005D1FFA" w:rsidRPr="003E7106" w:rsidRDefault="005D1FFA" w:rsidP="00257109">
            <w:pPr>
              <w:pStyle w:val="TableText"/>
              <w:ind w:left="850" w:hanging="425"/>
              <w:rPr>
                <w:rFonts w:cs="Arial"/>
              </w:rPr>
            </w:pPr>
            <w:r w:rsidRPr="003E7106">
              <w:rPr>
                <w:rFonts w:cs="Arial"/>
              </w:rPr>
              <w:t>a.</w:t>
            </w:r>
            <w:r w:rsidRPr="003E7106">
              <w:rPr>
                <w:rFonts w:cs="Arial"/>
              </w:rPr>
              <w:tab/>
              <w:t>the HCSS Costing Template (the ‘price/cost model’), jointly developed by the DHBs through the Health of Older People Steering Group and the New Zealand Home Health Association</w:t>
            </w:r>
            <w:r w:rsidRPr="003E7106">
              <w:rPr>
                <w:rStyle w:val="FootnoteReference"/>
              </w:rPr>
              <w:footnoteReference w:id="3"/>
            </w:r>
            <w:r w:rsidRPr="003E7106">
              <w:rPr>
                <w:rFonts w:cs="Arial"/>
              </w:rPr>
              <w:t xml:space="preserve"> in 2014, be used to determine the price of service delivery for aged care HCSS services, and that this form the basis of negotiation for the annual review of the national HCSS contract (noting that this would be under a sector representative framework and would use a process similar to the annual aged residential care contractual review).</w:t>
            </w:r>
          </w:p>
          <w:p w:rsidR="005D1FFA" w:rsidRPr="003E7106" w:rsidRDefault="005D1FFA" w:rsidP="00257109">
            <w:pPr>
              <w:pStyle w:val="TableText"/>
              <w:ind w:left="850" w:hanging="425"/>
              <w:rPr>
                <w:rFonts w:cs="Arial"/>
              </w:rPr>
            </w:pPr>
            <w:r w:rsidRPr="003E7106">
              <w:rPr>
                <w:rFonts w:cs="Arial"/>
              </w:rPr>
              <w:t>b.</w:t>
            </w:r>
            <w:r w:rsidRPr="003E7106">
              <w:rPr>
                <w:rFonts w:cs="Arial"/>
              </w:rPr>
              <w:tab/>
              <w:t>the price set in funder/provider negotiations be reviewed annually</w:t>
            </w:r>
          </w:p>
          <w:p w:rsidR="005D1FFA" w:rsidRPr="003E7106" w:rsidRDefault="005D1FFA" w:rsidP="00257109">
            <w:pPr>
              <w:pStyle w:val="TableText"/>
              <w:ind w:left="850" w:hanging="425"/>
              <w:rPr>
                <w:rFonts w:cs="Arial"/>
              </w:rPr>
            </w:pPr>
            <w:r w:rsidRPr="003E7106">
              <w:rPr>
                <w:rFonts w:cs="Arial"/>
              </w:rPr>
              <w:t>c.</w:t>
            </w:r>
            <w:r w:rsidRPr="003E7106">
              <w:rPr>
                <w:rFonts w:cs="Arial"/>
              </w:rPr>
              <w:tab/>
              <w:t>providers and funders meet contractual expectations relating to the implementation of regularisation and provide regular data in accordance with compliance requirements.</w:t>
            </w:r>
          </w:p>
        </w:tc>
      </w:tr>
    </w:tbl>
    <w:p w:rsidR="005D1FFA" w:rsidRPr="003E7106" w:rsidRDefault="005D1FFA" w:rsidP="005D1FFA">
      <w:bookmarkStart w:id="19" w:name="_Toc423677664"/>
    </w:p>
    <w:p w:rsidR="005D1FFA" w:rsidRPr="003E7106" w:rsidRDefault="005D1FFA" w:rsidP="005D1FFA">
      <w:r w:rsidRPr="003E7106">
        <w:br w:type="page"/>
      </w:r>
    </w:p>
    <w:p w:rsidR="005D1FFA" w:rsidRPr="003E7106" w:rsidRDefault="005D1FFA" w:rsidP="005D1FFA">
      <w:pPr>
        <w:pStyle w:val="Heading1"/>
      </w:pPr>
      <w:bookmarkStart w:id="20" w:name="_Toc426009387"/>
      <w:r w:rsidRPr="003E7106">
        <w:t>Transitional arrangements to achieve regularisation</w:t>
      </w:r>
      <w:bookmarkEnd w:id="19"/>
      <w:bookmarkEnd w:id="20"/>
    </w:p>
    <w:tbl>
      <w:tblPr>
        <w:tblW w:w="0" w:type="auto"/>
        <w:tblInd w:w="108" w:type="dxa"/>
        <w:tblLayout w:type="fixed"/>
        <w:tblLook w:val="04A0" w:firstRow="1" w:lastRow="0" w:firstColumn="1" w:lastColumn="0" w:noHBand="0" w:noVBand="1"/>
      </w:tblPr>
      <w:tblGrid>
        <w:gridCol w:w="2268"/>
        <w:gridCol w:w="12333"/>
      </w:tblGrid>
      <w:tr w:rsidR="005D1FFA" w:rsidRPr="003E7106" w:rsidTr="005D1FFA">
        <w:trPr>
          <w:cantSplit/>
          <w:tblHeader/>
        </w:trPr>
        <w:tc>
          <w:tcPr>
            <w:tcW w:w="2268" w:type="dxa"/>
            <w:shd w:val="clear" w:color="auto" w:fill="1F497D" w:themeFill="text2"/>
            <w:hideMark/>
          </w:tcPr>
          <w:p w:rsidR="00AE2835" w:rsidRPr="003E7106" w:rsidRDefault="00AE2835" w:rsidP="005D1FFA">
            <w:pPr>
              <w:pStyle w:val="TableText"/>
              <w:rPr>
                <w:b/>
                <w:color w:val="FFFFFF" w:themeColor="background1"/>
              </w:rPr>
            </w:pPr>
            <w:r w:rsidRPr="003E7106">
              <w:rPr>
                <w:b/>
                <w:color w:val="FFFFFF" w:themeColor="background1"/>
              </w:rPr>
              <w:t>Area</w:t>
            </w:r>
          </w:p>
        </w:tc>
        <w:tc>
          <w:tcPr>
            <w:tcW w:w="12333" w:type="dxa"/>
            <w:shd w:val="clear" w:color="auto" w:fill="1F497D" w:themeFill="text2"/>
            <w:hideMark/>
          </w:tcPr>
          <w:p w:rsidR="00AE2835" w:rsidRPr="003E7106" w:rsidRDefault="00AE2835" w:rsidP="005D1FFA">
            <w:pPr>
              <w:pStyle w:val="TableText"/>
              <w:rPr>
                <w:b/>
                <w:color w:val="FFFFFF" w:themeColor="background1"/>
              </w:rPr>
            </w:pPr>
            <w:r w:rsidRPr="003E7106">
              <w:rPr>
                <w:b/>
                <w:color w:val="FFFFFF" w:themeColor="background1"/>
              </w:rPr>
              <w:t>Key observations</w:t>
            </w:r>
          </w:p>
        </w:tc>
      </w:tr>
      <w:tr w:rsidR="00AE2835" w:rsidRPr="003E7106" w:rsidTr="005D1FFA">
        <w:trPr>
          <w:cantSplit/>
        </w:trPr>
        <w:tc>
          <w:tcPr>
            <w:tcW w:w="2268" w:type="dxa"/>
            <w:shd w:val="clear" w:color="auto" w:fill="B8CCE4" w:themeFill="accent1" w:themeFillTint="66"/>
            <w:hideMark/>
          </w:tcPr>
          <w:p w:rsidR="00AE2835" w:rsidRPr="003E7106" w:rsidRDefault="00AE2835" w:rsidP="00C10288">
            <w:pPr>
              <w:pStyle w:val="Heading3"/>
            </w:pPr>
            <w:bookmarkStart w:id="21" w:name="_Toc423677665"/>
            <w:r w:rsidRPr="003E7106">
              <w:t>Objective</w:t>
            </w:r>
            <w:bookmarkEnd w:id="21"/>
          </w:p>
        </w:tc>
        <w:tc>
          <w:tcPr>
            <w:tcW w:w="12333" w:type="dxa"/>
            <w:hideMark/>
          </w:tcPr>
          <w:p w:rsidR="00AE2835" w:rsidRPr="003E7106" w:rsidRDefault="00AE2835" w:rsidP="005D1FFA">
            <w:pPr>
              <w:pStyle w:val="TableText"/>
            </w:pPr>
            <w:r w:rsidRPr="003E7106">
              <w:t>The viability of HCSS depends on the transition, at one time, of all the measures that make up a regularised workforce (ie, paid training; wages linked to the required levels of training; guaranteed hours; and safe and fair workloads, in accordance with the timetable set out here). Implementation of a complete package will enable recruitment and retention problems to be addressed and will create a more experienced and stable workforce, well placed to meet increasing demand in the future.</w:t>
            </w:r>
          </w:p>
        </w:tc>
      </w:tr>
      <w:tr w:rsidR="00AE2835" w:rsidRPr="003E7106" w:rsidTr="005D1FFA">
        <w:trPr>
          <w:cantSplit/>
        </w:trPr>
        <w:tc>
          <w:tcPr>
            <w:tcW w:w="2268" w:type="dxa"/>
            <w:shd w:val="clear" w:color="auto" w:fill="B8CCE4" w:themeFill="accent1" w:themeFillTint="66"/>
            <w:hideMark/>
          </w:tcPr>
          <w:p w:rsidR="00AE2835" w:rsidRPr="003E7106" w:rsidRDefault="00AE2835" w:rsidP="00C10288">
            <w:pPr>
              <w:pStyle w:val="Heading3"/>
            </w:pPr>
            <w:bookmarkStart w:id="22" w:name="_Toc423677666"/>
            <w:r w:rsidRPr="003E7106">
              <w:t>Timeframe for implementation</w:t>
            </w:r>
            <w:bookmarkEnd w:id="22"/>
          </w:p>
        </w:tc>
        <w:tc>
          <w:tcPr>
            <w:tcW w:w="12333" w:type="dxa"/>
            <w:hideMark/>
          </w:tcPr>
          <w:p w:rsidR="00AE2835" w:rsidRPr="003E7106" w:rsidRDefault="00AE2835" w:rsidP="005D1FFA">
            <w:pPr>
              <w:pStyle w:val="TableText"/>
            </w:pPr>
            <w:r w:rsidRPr="003E7106">
              <w:t>Transitioning to a fully regularised workforce, as defined by the Settlement Agreement, is only achievable within 36 months of the signing of the Settlement Agreement and will require a careful and consistent approach, provider by provider, to ensure no disadvantage to the workforce, and buy-in by employers, workers and providers through edu</w:t>
            </w:r>
            <w:r w:rsidR="005D1FFA" w:rsidRPr="003E7106">
              <w:t>cation and robust consultation.</w:t>
            </w:r>
          </w:p>
        </w:tc>
      </w:tr>
      <w:tr w:rsidR="00AE2835" w:rsidRPr="003E7106" w:rsidTr="005D1FFA">
        <w:trPr>
          <w:cantSplit/>
        </w:trPr>
        <w:tc>
          <w:tcPr>
            <w:tcW w:w="2268" w:type="dxa"/>
            <w:shd w:val="clear" w:color="auto" w:fill="B8CCE4" w:themeFill="accent1" w:themeFillTint="66"/>
          </w:tcPr>
          <w:p w:rsidR="00AE2835" w:rsidRPr="003E7106" w:rsidRDefault="00AE2835" w:rsidP="00C10288">
            <w:pPr>
              <w:pStyle w:val="Heading3"/>
            </w:pPr>
            <w:bookmarkStart w:id="23" w:name="_Toc423677667"/>
            <w:r w:rsidRPr="003E7106">
              <w:t>Essential prerequisite: sufficient funding and accountability mechanisms</w:t>
            </w:r>
            <w:bookmarkEnd w:id="23"/>
          </w:p>
        </w:tc>
        <w:tc>
          <w:tcPr>
            <w:tcW w:w="12333" w:type="dxa"/>
            <w:hideMark/>
          </w:tcPr>
          <w:p w:rsidR="00AE2835" w:rsidRPr="003E7106" w:rsidRDefault="00AE2835" w:rsidP="005D1FFA">
            <w:pPr>
              <w:pStyle w:val="TableText"/>
            </w:pPr>
            <w:r w:rsidRPr="003E7106">
              <w:t>The following paragraphs set out the transitional arrangements required to enable regularisation within a 36-month period from the date of the Settlement Agreement having been signed.</w:t>
            </w:r>
          </w:p>
          <w:p w:rsidR="00AE2835" w:rsidRPr="003E7106" w:rsidRDefault="00AE2835" w:rsidP="005D1FFA">
            <w:pPr>
              <w:pStyle w:val="TableText"/>
            </w:pPr>
            <w:r w:rsidRPr="003E7106">
              <w:t>A separate initial Budget bid for new Crown funding must be made to ensure:</w:t>
            </w:r>
          </w:p>
          <w:p w:rsidR="00AE2835" w:rsidRPr="003E7106" w:rsidRDefault="005D1FFA" w:rsidP="005D1FFA">
            <w:pPr>
              <w:pStyle w:val="TableText"/>
              <w:ind w:left="425" w:hanging="425"/>
            </w:pPr>
            <w:r w:rsidRPr="003E7106">
              <w:t>a.</w:t>
            </w:r>
            <w:r w:rsidRPr="003E7106">
              <w:tab/>
            </w:r>
            <w:r w:rsidR="00AE2835" w:rsidRPr="003E7106">
              <w:t>providers</w:t>
            </w:r>
            <w:r w:rsidR="0082259D" w:rsidRPr="003E7106">
              <w:t>’</w:t>
            </w:r>
            <w:r w:rsidR="00AE2835" w:rsidRPr="003E7106">
              <w:t xml:space="preserve"> ability to support the allocation of baseline funding equivalent to $27.76 per worker (excluding in-between travel payments) and $32.50 per worker (including in-between travel payments) and payment of an initial minimum entry wage rate of $15 per hour</w:t>
            </w:r>
          </w:p>
          <w:p w:rsidR="00AE2835" w:rsidRPr="003E7106" w:rsidRDefault="005D1FFA" w:rsidP="005D1FFA">
            <w:pPr>
              <w:pStyle w:val="TableText"/>
              <w:ind w:left="425" w:hanging="425"/>
            </w:pPr>
            <w:r w:rsidRPr="003E7106">
              <w:t>b.</w:t>
            </w:r>
            <w:r w:rsidRPr="003E7106">
              <w:tab/>
            </w:r>
            <w:r w:rsidR="00AE2835" w:rsidRPr="003E7106">
              <w:t>support for transition to a regularised workforce.</w:t>
            </w:r>
          </w:p>
        </w:tc>
      </w:tr>
      <w:tr w:rsidR="00AE2835" w:rsidRPr="003E7106" w:rsidTr="005D1FFA">
        <w:trPr>
          <w:cantSplit/>
        </w:trPr>
        <w:tc>
          <w:tcPr>
            <w:tcW w:w="2268" w:type="dxa"/>
            <w:shd w:val="clear" w:color="auto" w:fill="B8CCE4" w:themeFill="accent1" w:themeFillTint="66"/>
            <w:hideMark/>
          </w:tcPr>
          <w:p w:rsidR="00AE2835" w:rsidRPr="003E7106" w:rsidRDefault="00AE2835" w:rsidP="00C10288">
            <w:pPr>
              <w:pStyle w:val="Heading3"/>
            </w:pPr>
            <w:bookmarkStart w:id="24" w:name="_Toc423677668"/>
            <w:r w:rsidRPr="003E7106">
              <w:t>Staged approach to transition</w:t>
            </w:r>
            <w:bookmarkEnd w:id="24"/>
          </w:p>
        </w:tc>
        <w:tc>
          <w:tcPr>
            <w:tcW w:w="12333" w:type="dxa"/>
            <w:hideMark/>
          </w:tcPr>
          <w:p w:rsidR="00AE2835" w:rsidRPr="003E7106" w:rsidRDefault="00AE2835" w:rsidP="005D1FFA">
            <w:pPr>
              <w:pStyle w:val="TableText"/>
            </w:pPr>
            <w:r w:rsidRPr="003E7106">
              <w:t>Funders and providers will need to be assured that sufficient funding is available to support regularisation of the home and community support workforce.</w:t>
            </w:r>
          </w:p>
          <w:p w:rsidR="00AE2835" w:rsidRPr="003E7106" w:rsidRDefault="00AE2835" w:rsidP="005D1FFA">
            <w:pPr>
              <w:pStyle w:val="TableText"/>
            </w:pPr>
            <w:r w:rsidRPr="003E7106">
              <w:t>Providers will need to demonstrate accountability through meeting staged contractual obligations before full funding is allocated.</w:t>
            </w:r>
          </w:p>
          <w:p w:rsidR="00AE2835" w:rsidRPr="003E7106" w:rsidRDefault="00AE2835" w:rsidP="005D1FFA">
            <w:pPr>
              <w:pStyle w:val="TableText"/>
            </w:pPr>
            <w:r w:rsidRPr="003E7106">
              <w:t xml:space="preserve">The total quantum required for implementation of regularisation has been estimated at between $60.23 million and $108.26 million, with the higher rate aligned to a remuneration framework comparable to that applicable to DHB-employed Health Care Assistants. This funding is </w:t>
            </w:r>
            <w:r w:rsidRPr="003E7106">
              <w:rPr>
                <w:i/>
              </w:rPr>
              <w:t>additional</w:t>
            </w:r>
            <w:r w:rsidRPr="003E7106">
              <w:t xml:space="preserve"> to that appropriated for payment of in-between travel.</w:t>
            </w:r>
          </w:p>
          <w:p w:rsidR="00AE2835" w:rsidRPr="003E7106" w:rsidRDefault="00AE2835" w:rsidP="005D1FFA">
            <w:pPr>
              <w:pStyle w:val="TableText"/>
            </w:pPr>
            <w:r w:rsidRPr="003E7106">
              <w:t>It is not anticipated that the total quantum of funding to support regularisation will immediately be available to funders for allocation to providers, but that sufficient funding to support each stage of transition to a regularised workforce be made available to providers to support implementation in accordance with an agreed timeframe for the implementation of each stage.</w:t>
            </w:r>
          </w:p>
        </w:tc>
      </w:tr>
      <w:tr w:rsidR="005D1FFA" w:rsidRPr="003E7106" w:rsidTr="005D1FFA">
        <w:trPr>
          <w:cantSplit/>
        </w:trPr>
        <w:tc>
          <w:tcPr>
            <w:tcW w:w="2268" w:type="dxa"/>
            <w:shd w:val="clear" w:color="auto" w:fill="B8CCE4" w:themeFill="accent1" w:themeFillTint="66"/>
          </w:tcPr>
          <w:p w:rsidR="005D1FFA" w:rsidRPr="003E7106" w:rsidRDefault="005D1FFA" w:rsidP="00C10288">
            <w:pPr>
              <w:pStyle w:val="Heading3"/>
            </w:pPr>
            <w:bookmarkStart w:id="25" w:name="_Toc423677669"/>
            <w:r w:rsidRPr="003E7106">
              <w:t>Transition Stage One</w:t>
            </w:r>
            <w:bookmarkEnd w:id="25"/>
            <w:r w:rsidRPr="003E7106">
              <w:rPr>
                <w:b w:val="0"/>
              </w:rPr>
              <w:t xml:space="preserve"> (anticipated to take at least 12 months)</w:t>
            </w:r>
          </w:p>
        </w:tc>
        <w:tc>
          <w:tcPr>
            <w:tcW w:w="12333" w:type="dxa"/>
          </w:tcPr>
          <w:p w:rsidR="005D1FFA" w:rsidRPr="003E7106" w:rsidRDefault="005D1FFA" w:rsidP="005D1FFA">
            <w:pPr>
              <w:pStyle w:val="TableText"/>
            </w:pPr>
            <w:r w:rsidRPr="003E7106">
              <w:t>Transition Stage One requires:</w:t>
            </w:r>
          </w:p>
          <w:p w:rsidR="005D1FFA" w:rsidRPr="003E7106" w:rsidRDefault="005D1FFA" w:rsidP="005D1FFA">
            <w:pPr>
              <w:pStyle w:val="TableText"/>
              <w:ind w:left="425" w:hanging="425"/>
            </w:pPr>
            <w:r w:rsidRPr="003E7106">
              <w:t>a.</w:t>
            </w:r>
            <w:r w:rsidRPr="003E7106">
              <w:tab/>
              <w:t>any suggested rates or funding estimates included in this report to be peer reviewed and verified by an independent party before this report is published and verified by the parties to the Settlement Agreement</w:t>
            </w:r>
          </w:p>
          <w:p w:rsidR="005D1FFA" w:rsidRPr="003E7106" w:rsidRDefault="005D1FFA" w:rsidP="005D1FFA">
            <w:pPr>
              <w:pStyle w:val="TableText"/>
              <w:ind w:left="425" w:hanging="425"/>
            </w:pPr>
            <w:r w:rsidRPr="003E7106">
              <w:t>b.</w:t>
            </w:r>
            <w:r w:rsidRPr="003E7106">
              <w:tab/>
              <w:t>consideration of the impact of client choice on a regularised workforce, because this will have an impact on service delivery and provider costs</w:t>
            </w:r>
          </w:p>
          <w:p w:rsidR="005D1FFA" w:rsidRPr="003E7106" w:rsidRDefault="005D1FFA" w:rsidP="005D1FFA">
            <w:pPr>
              <w:pStyle w:val="TableText"/>
              <w:ind w:left="425" w:hanging="425"/>
            </w:pPr>
            <w:r w:rsidRPr="003E7106">
              <w:t>c.</w:t>
            </w:r>
            <w:r w:rsidRPr="003E7106">
              <w:tab/>
              <w:t>completion of all InterRAI assessments for persons aged over 65</w:t>
            </w:r>
          </w:p>
          <w:p w:rsidR="005D1FFA" w:rsidRPr="003E7106" w:rsidRDefault="005D1FFA" w:rsidP="005D1FFA">
            <w:pPr>
              <w:pStyle w:val="TableText"/>
              <w:ind w:left="425" w:hanging="425"/>
            </w:pPr>
            <w:r w:rsidRPr="003E7106">
              <w:t>d.</w:t>
            </w:r>
            <w:r w:rsidRPr="003E7106">
              <w:tab/>
              <w:t>the development and agreement of contract service specifications for persons aged over 65, for inclusion in a national contract</w:t>
            </w:r>
          </w:p>
          <w:p w:rsidR="005D1FFA" w:rsidRPr="003E7106" w:rsidRDefault="005D1FFA" w:rsidP="005D1FFA">
            <w:pPr>
              <w:pStyle w:val="TableText"/>
              <w:ind w:left="425" w:hanging="425"/>
            </w:pPr>
            <w:r w:rsidRPr="003E7106">
              <w:t>e.</w:t>
            </w:r>
            <w:r w:rsidRPr="003E7106">
              <w:tab/>
              <w:t>a review of the experience of other health sectors, such as the Australian introduction of guaranteed hours for the home and community support workforce, and/or New Zealand experiences, to analyse the risk of non-utilised (non-revenue-generating) time</w:t>
            </w:r>
          </w:p>
        </w:tc>
      </w:tr>
      <w:tr w:rsidR="005D1FFA" w:rsidRPr="003E7106" w:rsidTr="005D1FFA">
        <w:trPr>
          <w:cantSplit/>
        </w:trPr>
        <w:tc>
          <w:tcPr>
            <w:tcW w:w="2268" w:type="dxa"/>
            <w:shd w:val="clear" w:color="auto" w:fill="B8CCE4" w:themeFill="accent1" w:themeFillTint="66"/>
          </w:tcPr>
          <w:p w:rsidR="005D1FFA" w:rsidRPr="003E7106" w:rsidRDefault="005D1FFA" w:rsidP="00C10288">
            <w:pPr>
              <w:pStyle w:val="Heading3"/>
            </w:pPr>
            <w:r w:rsidRPr="003E7106">
              <w:t>Transition Stage One</w:t>
            </w:r>
            <w:r w:rsidRPr="003E7106">
              <w:rPr>
                <w:b w:val="0"/>
              </w:rPr>
              <w:t xml:space="preserve"> (continued)</w:t>
            </w:r>
          </w:p>
        </w:tc>
        <w:tc>
          <w:tcPr>
            <w:tcW w:w="12333" w:type="dxa"/>
          </w:tcPr>
          <w:p w:rsidR="005D1FFA" w:rsidRPr="003E7106" w:rsidRDefault="005D1FFA" w:rsidP="005D1FFA">
            <w:pPr>
              <w:pStyle w:val="TableText"/>
              <w:ind w:left="425" w:hanging="425"/>
            </w:pPr>
            <w:r w:rsidRPr="003E7106">
              <w:t>f.</w:t>
            </w:r>
            <w:r w:rsidRPr="003E7106">
              <w:tab/>
              <w:t>the Ministry of Health, in conjunction with all stakeholders (including funders, DHBs, providers and unions), to establish a national contract similar to the current Aged Related Residential Care (ARRC) agreement, which will include service specifications that:</w:t>
            </w:r>
          </w:p>
          <w:p w:rsidR="005D1FFA" w:rsidRPr="003E7106" w:rsidRDefault="005D1FFA" w:rsidP="005D1FFA">
            <w:pPr>
              <w:pStyle w:val="TableBullet"/>
              <w:ind w:left="709"/>
            </w:pPr>
            <w:r w:rsidRPr="003E7106">
              <w:t>mandate the use of the price/cost model (developed in 2014 by the DHB Health of Older People Steering Group and the (now) Home and Community Health Association) for HCSS as a basis for negotiations between DHBs and providers with respect to aged care services</w:t>
            </w:r>
          </w:p>
          <w:p w:rsidR="005D1FFA" w:rsidRPr="003E7106" w:rsidRDefault="005D1FFA" w:rsidP="005D1FFA">
            <w:pPr>
              <w:pStyle w:val="TableBullet"/>
              <w:ind w:left="709"/>
            </w:pPr>
            <w:r w:rsidRPr="003E7106">
              <w:t>include annual contracting mechanisms that enable statutory requirements that affect price to be taken into account</w:t>
            </w:r>
          </w:p>
          <w:p w:rsidR="005D1FFA" w:rsidRPr="003E7106" w:rsidRDefault="005D1FFA" w:rsidP="005D1FFA">
            <w:pPr>
              <w:pStyle w:val="TableText"/>
              <w:ind w:left="425" w:hanging="425"/>
            </w:pPr>
            <w:r w:rsidRPr="003E7106">
              <w:t>g.</w:t>
            </w:r>
            <w:r w:rsidRPr="003E7106">
              <w:tab/>
              <w:t>the establishment of an education and support programme that will inform funders, providers, unions, workers and clients of the purpose of regularisation, the processes of transitioning to a regularised workforce, and their role and obligations in relation to this transition</w:t>
            </w:r>
          </w:p>
          <w:p w:rsidR="005D1FFA" w:rsidRPr="003E7106" w:rsidRDefault="005D1FFA" w:rsidP="005D1FFA">
            <w:pPr>
              <w:pStyle w:val="TableText"/>
              <w:ind w:left="425" w:hanging="425"/>
            </w:pPr>
            <w:r w:rsidRPr="003E7106">
              <w:t>h.</w:t>
            </w:r>
            <w:r w:rsidRPr="003E7106">
              <w:tab/>
              <w:t>providers to complete a stocktake of current workers’ hours, rostering, existing qualifications and casework allocation</w:t>
            </w:r>
          </w:p>
          <w:p w:rsidR="005D1FFA" w:rsidRPr="003E7106" w:rsidRDefault="005D1FFA" w:rsidP="005D1FFA">
            <w:pPr>
              <w:pStyle w:val="TableText"/>
              <w:ind w:left="425" w:hanging="425"/>
            </w:pPr>
            <w:r w:rsidRPr="003E7106">
              <w:t>i.</w:t>
            </w:r>
            <w:r w:rsidRPr="003E7106">
              <w:tab/>
              <w:t>reporting on the delivery of associated milestones and outcomes.</w:t>
            </w:r>
          </w:p>
        </w:tc>
      </w:tr>
      <w:tr w:rsidR="00AE2835" w:rsidRPr="003E7106" w:rsidTr="005D1FFA">
        <w:trPr>
          <w:cantSplit/>
        </w:trPr>
        <w:tc>
          <w:tcPr>
            <w:tcW w:w="2268" w:type="dxa"/>
            <w:shd w:val="clear" w:color="auto" w:fill="B8CCE4" w:themeFill="accent1" w:themeFillTint="66"/>
            <w:hideMark/>
          </w:tcPr>
          <w:p w:rsidR="00AE2835" w:rsidRPr="003E7106" w:rsidRDefault="00AE2835" w:rsidP="00C10288">
            <w:pPr>
              <w:pStyle w:val="Heading3"/>
            </w:pPr>
            <w:bookmarkStart w:id="26" w:name="_Toc423677670"/>
            <w:r w:rsidRPr="003E7106">
              <w:t>Transition Stage Two</w:t>
            </w:r>
            <w:bookmarkEnd w:id="26"/>
            <w:r w:rsidR="005D1FFA" w:rsidRPr="003E7106">
              <w:rPr>
                <w:b w:val="0"/>
              </w:rPr>
              <w:t xml:space="preserve"> </w:t>
            </w:r>
            <w:r w:rsidRPr="003E7106">
              <w:rPr>
                <w:b w:val="0"/>
              </w:rPr>
              <w:t>(to be undertaken concurrently with Stage One and completed within six months of Stage One</w:t>
            </w:r>
            <w:r w:rsidR="0082259D" w:rsidRPr="003E7106">
              <w:rPr>
                <w:b w:val="0"/>
              </w:rPr>
              <w:t>’</w:t>
            </w:r>
            <w:r w:rsidRPr="003E7106">
              <w:rPr>
                <w:b w:val="0"/>
              </w:rPr>
              <w:t>s completion)</w:t>
            </w:r>
          </w:p>
        </w:tc>
        <w:tc>
          <w:tcPr>
            <w:tcW w:w="12333" w:type="dxa"/>
            <w:hideMark/>
          </w:tcPr>
          <w:p w:rsidR="00AE2835" w:rsidRPr="003E7106" w:rsidRDefault="00AE2835" w:rsidP="005D1FFA">
            <w:pPr>
              <w:pStyle w:val="TableText"/>
              <w:ind w:left="425" w:hanging="425"/>
            </w:pPr>
            <w:r w:rsidRPr="003E7106">
              <w:t>Transition Stage Two requires:</w:t>
            </w:r>
          </w:p>
          <w:p w:rsidR="0082259D" w:rsidRPr="003E7106" w:rsidRDefault="005D1FFA" w:rsidP="005D1FFA">
            <w:pPr>
              <w:pStyle w:val="TableText"/>
              <w:ind w:left="425" w:hanging="425"/>
            </w:pPr>
            <w:r w:rsidRPr="003E7106">
              <w:t>a.</w:t>
            </w:r>
            <w:r w:rsidRPr="003E7106">
              <w:tab/>
            </w:r>
            <w:r w:rsidR="00AE2835" w:rsidRPr="003E7106">
              <w:t>changes to individual and collective employment agreements to be negotiated and agreed in accordance with employment law</w:t>
            </w:r>
          </w:p>
          <w:p w:rsidR="00AE2835" w:rsidRPr="003E7106" w:rsidRDefault="005D1FFA" w:rsidP="005D1FFA">
            <w:pPr>
              <w:pStyle w:val="TableText"/>
              <w:ind w:left="425" w:hanging="425"/>
            </w:pPr>
            <w:r w:rsidRPr="003E7106">
              <w:t>b.</w:t>
            </w:r>
            <w:r w:rsidRPr="003E7106">
              <w:tab/>
            </w:r>
            <w:r w:rsidR="00AE2835" w:rsidRPr="003E7106">
              <w:t>DHBs to transition to the funding allocation being determined on a case-mix volume basis: the formula for determining this will be identified/agreed in Transition Stage One</w:t>
            </w:r>
          </w:p>
          <w:p w:rsidR="00AE2835" w:rsidRPr="003E7106" w:rsidRDefault="005D1FFA" w:rsidP="005D1FFA">
            <w:pPr>
              <w:pStyle w:val="TableText"/>
              <w:ind w:left="425" w:hanging="425"/>
            </w:pPr>
            <w:r w:rsidRPr="003E7106">
              <w:t>c.</w:t>
            </w:r>
            <w:r w:rsidRPr="003E7106">
              <w:tab/>
            </w:r>
            <w:r w:rsidR="00AE2835" w:rsidRPr="003E7106">
              <w:t>allocation of up-front funding to DHBs to transition to a 51% guaranteed hours model and link wages to qualifications</w:t>
            </w:r>
          </w:p>
          <w:p w:rsidR="00AE2835" w:rsidRPr="003E7106" w:rsidRDefault="00AE2835" w:rsidP="005D1FFA">
            <w:pPr>
              <w:pStyle w:val="TableText"/>
              <w:ind w:left="425"/>
            </w:pPr>
            <w:r w:rsidRPr="003E7106">
              <w:t xml:space="preserve">[Under the 51% model, providers are expected to achieve the following </w:t>
            </w:r>
            <w:r w:rsidRPr="003E7106">
              <w:rPr>
                <w:i/>
              </w:rPr>
              <w:t xml:space="preserve">minimum </w:t>
            </w:r>
            <w:r w:rsidRPr="003E7106">
              <w:t>targets for guaranteed hours by the end of the first year:</w:t>
            </w:r>
          </w:p>
          <w:p w:rsidR="00AE2835" w:rsidRPr="003E7106" w:rsidRDefault="00AE2835" w:rsidP="005D1FFA">
            <w:pPr>
              <w:pStyle w:val="TableBullet"/>
              <w:ind w:left="709"/>
            </w:pPr>
            <w:r w:rsidRPr="003E7106">
              <w:t>a minimum of 51% of each provider</w:t>
            </w:r>
            <w:r w:rsidR="0082259D" w:rsidRPr="003E7106">
              <w:t>’</w:t>
            </w:r>
            <w:r w:rsidRPr="003E7106">
              <w:t>s total workforce has guaranteed hours</w:t>
            </w:r>
          </w:p>
          <w:p w:rsidR="00AE2835" w:rsidRPr="003E7106" w:rsidRDefault="00AE2835" w:rsidP="005D1FFA">
            <w:pPr>
              <w:pStyle w:val="TableBullet"/>
              <w:ind w:left="709"/>
              <w:rPr>
                <w:i/>
              </w:rPr>
            </w:pPr>
            <w:r w:rsidRPr="003E7106">
              <w:t>a minimum of 51% of each provider</w:t>
            </w:r>
            <w:r w:rsidR="0082259D" w:rsidRPr="003E7106">
              <w:t>’</w:t>
            </w:r>
            <w:r w:rsidRPr="003E7106">
              <w:t>s contracted hours will be guaranteed</w:t>
            </w:r>
          </w:p>
          <w:p w:rsidR="00AE2835" w:rsidRPr="003E7106" w:rsidRDefault="00AE2835" w:rsidP="005D1FFA">
            <w:pPr>
              <w:pStyle w:val="TableBullet"/>
              <w:ind w:left="709"/>
            </w:pPr>
            <w:r w:rsidRPr="003E7106">
              <w:t>each Support Worker with guaranteed hours will have their last three months of hours reviewed, and the hours deemed to be permanent will make up the number of hours guaranteed, to a maximum of 40 hours per week (noting the associated caveat that this will depend on appropriate funding which must be based on analysis of non-utilisation rate and other factors, such as turnover (of clients and staff).</w:t>
            </w:r>
          </w:p>
          <w:p w:rsidR="005D1FFA" w:rsidRPr="003E7106" w:rsidRDefault="005D1FFA" w:rsidP="005D1FFA">
            <w:pPr>
              <w:pStyle w:val="TableText"/>
              <w:ind w:left="425" w:hanging="425"/>
            </w:pPr>
            <w:r w:rsidRPr="003E7106">
              <w:t>d.</w:t>
            </w:r>
            <w:r w:rsidRPr="003E7106">
              <w:tab/>
              <w:t>providers to recognise current qualifications, link wages to qualifications, and demonstrate through completion of regular reporting that this expectation has been met</w:t>
            </w:r>
          </w:p>
          <w:p w:rsidR="005D1FFA" w:rsidRPr="003E7106" w:rsidRDefault="005D1FFA" w:rsidP="005D1FFA">
            <w:pPr>
              <w:pStyle w:val="TableText"/>
              <w:ind w:left="425" w:hanging="425"/>
            </w:pPr>
            <w:r w:rsidRPr="003E7106">
              <w:t>e.</w:t>
            </w:r>
            <w:r w:rsidRPr="003E7106">
              <w:tab/>
              <w:t>allocating required funding to support training to enable all Support Workers to have access to Level 3 qualifications</w:t>
            </w:r>
          </w:p>
          <w:p w:rsidR="005D1FFA" w:rsidRPr="003E7106" w:rsidRDefault="005D1FFA" w:rsidP="005D1FFA">
            <w:pPr>
              <w:pStyle w:val="TableText"/>
            </w:pPr>
            <w:r w:rsidRPr="003E7106">
              <w:t>f.</w:t>
            </w:r>
            <w:r w:rsidRPr="003E7106">
              <w:tab/>
              <w:t>reporting on the delivery of associated milestones and outcomes.</w:t>
            </w:r>
          </w:p>
        </w:tc>
      </w:tr>
      <w:tr w:rsidR="00AE2835" w:rsidRPr="003E7106" w:rsidTr="005D1FFA">
        <w:trPr>
          <w:cantSplit/>
        </w:trPr>
        <w:tc>
          <w:tcPr>
            <w:tcW w:w="2268" w:type="dxa"/>
            <w:shd w:val="clear" w:color="auto" w:fill="B8CCE4" w:themeFill="accent1" w:themeFillTint="66"/>
            <w:hideMark/>
          </w:tcPr>
          <w:p w:rsidR="00AE2835" w:rsidRPr="003E7106" w:rsidRDefault="00AE2835" w:rsidP="00C10288">
            <w:pPr>
              <w:pStyle w:val="Heading3"/>
            </w:pPr>
            <w:bookmarkStart w:id="27" w:name="_Toc423677671"/>
            <w:r w:rsidRPr="003E7106">
              <w:rPr>
                <w:color w:val="000000" w:themeColor="text1"/>
              </w:rPr>
              <w:t>Transition Stage Three</w:t>
            </w:r>
            <w:bookmarkEnd w:id="27"/>
            <w:r w:rsidR="00486BCD" w:rsidRPr="003E7106">
              <w:rPr>
                <w:b w:val="0"/>
                <w:color w:val="000000" w:themeColor="text1"/>
              </w:rPr>
              <w:br/>
            </w:r>
            <w:r w:rsidRPr="003E7106">
              <w:rPr>
                <w:b w:val="0"/>
              </w:rPr>
              <w:t>(to be undertaken concurrently with the latter six months of Stage</w:t>
            </w:r>
            <w:r w:rsidR="00486BCD" w:rsidRPr="003E7106">
              <w:rPr>
                <w:b w:val="0"/>
              </w:rPr>
              <w:t> </w:t>
            </w:r>
            <w:r w:rsidRPr="003E7106">
              <w:rPr>
                <w:b w:val="0"/>
              </w:rPr>
              <w:t>Two and completed within a further six months</w:t>
            </w:r>
            <w:r w:rsidR="00486BCD" w:rsidRPr="003E7106">
              <w:rPr>
                <w:b w:val="0"/>
              </w:rPr>
              <w:t>)</w:t>
            </w:r>
          </w:p>
        </w:tc>
        <w:tc>
          <w:tcPr>
            <w:tcW w:w="12333" w:type="dxa"/>
            <w:hideMark/>
          </w:tcPr>
          <w:p w:rsidR="0082259D" w:rsidRPr="003E7106" w:rsidRDefault="00AE2835" w:rsidP="005D1FFA">
            <w:pPr>
              <w:pStyle w:val="TableText"/>
            </w:pPr>
            <w:r w:rsidRPr="003E7106">
              <w:t>Transition Stage Three requires:</w:t>
            </w:r>
          </w:p>
          <w:p w:rsidR="0082259D" w:rsidRPr="003E7106" w:rsidRDefault="00486BCD" w:rsidP="00486BCD">
            <w:pPr>
              <w:pStyle w:val="TableText"/>
              <w:ind w:left="425" w:hanging="425"/>
            </w:pPr>
            <w:r w:rsidRPr="003E7106">
              <w:t>a.</w:t>
            </w:r>
            <w:r w:rsidRPr="003E7106">
              <w:tab/>
            </w:r>
            <w:r w:rsidR="00AE2835" w:rsidRPr="003E7106">
              <w:t>implementation of increases in each element of the 51% guaranteed hours model</w:t>
            </w:r>
          </w:p>
          <w:p w:rsidR="00AE2835" w:rsidRPr="003E7106" w:rsidRDefault="00486BCD" w:rsidP="00486BCD">
            <w:pPr>
              <w:pStyle w:val="TableText"/>
              <w:ind w:left="425" w:hanging="425"/>
              <w:rPr>
                <w:sz w:val="16"/>
                <w:szCs w:val="16"/>
                <w:u w:val="single"/>
              </w:rPr>
            </w:pPr>
            <w:r w:rsidRPr="003E7106">
              <w:t>b.</w:t>
            </w:r>
            <w:r w:rsidRPr="003E7106">
              <w:tab/>
            </w:r>
            <w:r w:rsidR="00AE2835" w:rsidRPr="003E7106">
              <w:t>reporting on the delivery of associated milestones and outcomes.</w:t>
            </w:r>
          </w:p>
        </w:tc>
      </w:tr>
    </w:tbl>
    <w:p w:rsidR="00486BCD" w:rsidRPr="003E7106" w:rsidRDefault="00486BCD">
      <w:pPr>
        <w:spacing w:line="240" w:lineRule="auto"/>
      </w:pPr>
      <w:r w:rsidRPr="003E7106">
        <w:br w:type="page"/>
      </w:r>
    </w:p>
    <w:p w:rsidR="00486BCD" w:rsidRPr="003E7106" w:rsidRDefault="00486BCD" w:rsidP="00486BCD">
      <w:pPr>
        <w:pStyle w:val="Heading1"/>
      </w:pPr>
      <w:bookmarkStart w:id="28" w:name="_Toc423677672"/>
      <w:bookmarkStart w:id="29" w:name="_Toc426009388"/>
      <w:r w:rsidRPr="003E7106">
        <w:t>Background</w:t>
      </w:r>
      <w:bookmarkEnd w:id="28"/>
      <w:bookmarkEnd w:id="2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2333"/>
      </w:tblGrid>
      <w:tr w:rsidR="00C10288" w:rsidRPr="003E7106" w:rsidTr="00C10288">
        <w:trPr>
          <w:cantSplit/>
          <w:tblHeader/>
        </w:trPr>
        <w:tc>
          <w:tcPr>
            <w:tcW w:w="2268" w:type="dxa"/>
            <w:tcBorders>
              <w:top w:val="nil"/>
              <w:left w:val="nil"/>
              <w:bottom w:val="nil"/>
              <w:right w:val="nil"/>
            </w:tcBorders>
            <w:shd w:val="clear" w:color="auto" w:fill="1F497D" w:themeFill="text2"/>
            <w:hideMark/>
          </w:tcPr>
          <w:p w:rsidR="00AE2835" w:rsidRPr="003E7106" w:rsidRDefault="00AE2835" w:rsidP="00C10288">
            <w:pPr>
              <w:pStyle w:val="TableText"/>
              <w:rPr>
                <w:b/>
                <w:color w:val="FFFFFF" w:themeColor="background1"/>
              </w:rPr>
            </w:pPr>
            <w:r w:rsidRPr="003E7106">
              <w:rPr>
                <w:b/>
                <w:color w:val="FFFFFF" w:themeColor="background1"/>
              </w:rPr>
              <w:t>Area</w:t>
            </w:r>
          </w:p>
        </w:tc>
        <w:tc>
          <w:tcPr>
            <w:tcW w:w="12333" w:type="dxa"/>
            <w:tcBorders>
              <w:top w:val="nil"/>
              <w:left w:val="nil"/>
              <w:bottom w:val="nil"/>
              <w:right w:val="nil"/>
            </w:tcBorders>
            <w:shd w:val="clear" w:color="auto" w:fill="1F497D" w:themeFill="text2"/>
            <w:hideMark/>
          </w:tcPr>
          <w:p w:rsidR="00AE2835" w:rsidRPr="003E7106" w:rsidRDefault="00AE2835" w:rsidP="00C10288">
            <w:pPr>
              <w:pStyle w:val="TableText"/>
              <w:rPr>
                <w:b/>
                <w:color w:val="FFFFFF" w:themeColor="background1"/>
              </w:rPr>
            </w:pPr>
            <w:r w:rsidRPr="003E7106">
              <w:rPr>
                <w:b/>
                <w:color w:val="FFFFFF" w:themeColor="background1"/>
              </w:rPr>
              <w:t>Key observations</w:t>
            </w:r>
          </w:p>
        </w:tc>
      </w:tr>
      <w:tr w:rsidR="00AE2835" w:rsidRPr="003E7106" w:rsidTr="00C10288">
        <w:trPr>
          <w:cantSplit/>
        </w:trPr>
        <w:tc>
          <w:tcPr>
            <w:tcW w:w="2268" w:type="dxa"/>
            <w:tcBorders>
              <w:top w:val="nil"/>
              <w:left w:val="nil"/>
              <w:bottom w:val="nil"/>
              <w:right w:val="nil"/>
            </w:tcBorders>
            <w:shd w:val="clear" w:color="auto" w:fill="B8CCE4" w:themeFill="accent1" w:themeFillTint="66"/>
            <w:hideMark/>
          </w:tcPr>
          <w:p w:rsidR="00AE2835" w:rsidRPr="003E7106" w:rsidRDefault="00AE2835" w:rsidP="00C10288">
            <w:pPr>
              <w:pStyle w:val="Heading2"/>
            </w:pPr>
            <w:bookmarkStart w:id="30" w:name="_Toc423677673"/>
            <w:bookmarkStart w:id="31" w:name="_Toc426009389"/>
            <w:r w:rsidRPr="003E7106">
              <w:t>Purpose of the report</w:t>
            </w:r>
            <w:bookmarkEnd w:id="30"/>
            <w:bookmarkEnd w:id="31"/>
          </w:p>
        </w:tc>
        <w:tc>
          <w:tcPr>
            <w:tcW w:w="12333" w:type="dxa"/>
            <w:tcBorders>
              <w:top w:val="nil"/>
              <w:left w:val="nil"/>
              <w:bottom w:val="nil"/>
              <w:right w:val="nil"/>
            </w:tcBorders>
            <w:shd w:val="clear" w:color="auto" w:fill="auto"/>
          </w:tcPr>
          <w:p w:rsidR="00AE2835" w:rsidRPr="003E7106" w:rsidRDefault="00AE2835" w:rsidP="00C10288">
            <w:pPr>
              <w:pStyle w:val="TableText"/>
              <w:spacing w:after="60"/>
            </w:pPr>
            <w:r w:rsidRPr="003E7106">
              <w:t>This report provides advice to the Director-General</w:t>
            </w:r>
            <w:r w:rsidR="0082259D" w:rsidRPr="003E7106">
              <w:t>’</w:t>
            </w:r>
            <w:r w:rsidRPr="003E7106">
              <w:t xml:space="preserve">s Reference Group on the impact and affordability of a transition to a regularised home </w:t>
            </w:r>
            <w:r w:rsidRPr="003E7106">
              <w:rPr>
                <w:rFonts w:cs="Arial"/>
              </w:rPr>
              <w:t xml:space="preserve">and community </w:t>
            </w:r>
            <w:r w:rsidRPr="003E7106">
              <w:t>support service workforce. A regularised workforce is one that has:</w:t>
            </w:r>
          </w:p>
          <w:p w:rsidR="00AE2835" w:rsidRPr="003E7106" w:rsidRDefault="00AE2835" w:rsidP="00C10288">
            <w:pPr>
              <w:pStyle w:val="TableBullet"/>
              <w:spacing w:after="60"/>
              <w:ind w:left="284"/>
            </w:pPr>
            <w:r w:rsidRPr="003E7106">
              <w:t>the majority of workers employed for a guaranteed number of hours</w:t>
            </w:r>
          </w:p>
          <w:p w:rsidR="00AE2835" w:rsidRPr="003E7106" w:rsidRDefault="00AE2835" w:rsidP="00C10288">
            <w:pPr>
              <w:pStyle w:val="TableBullet"/>
              <w:spacing w:after="60"/>
              <w:ind w:left="284"/>
            </w:pPr>
            <w:r w:rsidRPr="003E7106">
              <w:t>paid training to enable Support Workers to gain Level 3 New Zealand Certificate qualifications</w:t>
            </w:r>
          </w:p>
          <w:p w:rsidR="00AE2835" w:rsidRPr="003E7106" w:rsidRDefault="00AE2835" w:rsidP="00C10288">
            <w:pPr>
              <w:pStyle w:val="TableBullet"/>
              <w:spacing w:after="60"/>
              <w:ind w:left="284"/>
            </w:pPr>
            <w:r w:rsidRPr="003E7106">
              <w:t>wages paid on the basis of required levels of training</w:t>
            </w:r>
          </w:p>
          <w:p w:rsidR="00AE2835" w:rsidRPr="003E7106" w:rsidRDefault="00AE2835" w:rsidP="00C10288">
            <w:pPr>
              <w:pStyle w:val="TableBullet"/>
              <w:ind w:left="284"/>
            </w:pPr>
            <w:r w:rsidRPr="003E7106">
              <w:t>a case-mix / case-load mechanism to ensure a fair and safe allocation of clients to Support Workers.</w:t>
            </w:r>
          </w:p>
          <w:p w:rsidR="00AE2835" w:rsidRPr="003E7106" w:rsidRDefault="00AE2835" w:rsidP="00C10288">
            <w:pPr>
              <w:pStyle w:val="TableText"/>
              <w:rPr>
                <w:rFonts w:cs="Arial"/>
              </w:rPr>
            </w:pPr>
            <w:r w:rsidRPr="003E7106">
              <w:rPr>
                <w:rFonts w:cs="Arial"/>
              </w:rPr>
              <w:t>The benefits of moving to a regularised Support Worker workforce are transferable across all service delivery models. A well-trained workforce, working guaranteed hours (with support from a casual, fixed-term workforce), will be able to deliver high-quality health care and respond to future fluctuations in demand. A regularised workforce will be well placed to accommodate any changes in service delivery models.</w:t>
            </w:r>
          </w:p>
          <w:p w:rsidR="00AE2835" w:rsidRPr="003E7106" w:rsidRDefault="00AE2835" w:rsidP="00C10288">
            <w:pPr>
              <w:pStyle w:val="TableText"/>
              <w:rPr>
                <w:rFonts w:cs="Arial"/>
              </w:rPr>
            </w:pPr>
            <w:r w:rsidRPr="003E7106">
              <w:rPr>
                <w:rFonts w:cs="Arial"/>
              </w:rPr>
              <w:t>The terms of reference for the report are set out in Part B to the Settlement Agreement between the providers of HCSS, the unions representing Support Workers, and the DHBs and the Crown as funders of those services</w:t>
            </w:r>
            <w:r w:rsidR="00C10288" w:rsidRPr="003E7106">
              <w:rPr>
                <w:rFonts w:cs="Arial"/>
              </w:rPr>
              <w:t>.</w:t>
            </w:r>
          </w:p>
        </w:tc>
      </w:tr>
      <w:tr w:rsidR="00AE2835" w:rsidRPr="003E7106" w:rsidTr="00C10288">
        <w:trPr>
          <w:cantSplit/>
        </w:trPr>
        <w:tc>
          <w:tcPr>
            <w:tcW w:w="2268" w:type="dxa"/>
            <w:tcBorders>
              <w:top w:val="nil"/>
              <w:left w:val="nil"/>
              <w:bottom w:val="nil"/>
              <w:right w:val="nil"/>
            </w:tcBorders>
            <w:shd w:val="clear" w:color="auto" w:fill="B8CCE4" w:themeFill="accent1" w:themeFillTint="66"/>
          </w:tcPr>
          <w:p w:rsidR="00AE2835" w:rsidRPr="003E7106" w:rsidRDefault="00AE2835" w:rsidP="00C10288">
            <w:pPr>
              <w:pStyle w:val="Heading3"/>
            </w:pPr>
            <w:r w:rsidRPr="003E7106">
              <w:t>Costing model</w:t>
            </w:r>
          </w:p>
        </w:tc>
        <w:tc>
          <w:tcPr>
            <w:tcW w:w="12333" w:type="dxa"/>
            <w:tcBorders>
              <w:top w:val="nil"/>
              <w:left w:val="nil"/>
              <w:bottom w:val="nil"/>
              <w:right w:val="nil"/>
            </w:tcBorders>
            <w:shd w:val="clear" w:color="auto" w:fill="auto"/>
          </w:tcPr>
          <w:p w:rsidR="0082259D" w:rsidRPr="003E7106" w:rsidRDefault="00AE2835" w:rsidP="00C10288">
            <w:pPr>
              <w:pStyle w:val="TableText"/>
            </w:pPr>
            <w:r w:rsidRPr="003E7106">
              <w:t>In 2014 the DHB Health of Older People Steering Group in conjunction with the (now) Home and Community Health Association developed a Home Support Services Costing template to articulate the costs and service inputs of a home-based service on a per-hour basis. The costing model template is published on the DHB Shared Services website to inform discussions and decision-making on service investment and pricing decisions to ensure that sustainable, cost-effective home and community services are maintained across the country.</w:t>
            </w:r>
          </w:p>
          <w:p w:rsidR="00AE2835" w:rsidRPr="003E7106" w:rsidRDefault="00AE2835" w:rsidP="00C10288">
            <w:pPr>
              <w:pStyle w:val="TableText"/>
            </w:pPr>
            <w:r w:rsidRPr="003E7106">
              <w:t>This template is suitable for all funding arrangements, including fee-for-service, restorative care and a case-mix approach to funding. It is intended to make provider and DHB funding decisions transparent, and to itemise the standard costs associated with the delivery of HCSS. The template has been used throughout the report to illustrate the cost implications of regularising the HCSS workforce. A copy of the template and the assumptions underpinning it can be found in Appendix 1.</w:t>
            </w:r>
          </w:p>
          <w:p w:rsidR="0082259D" w:rsidRPr="003E7106" w:rsidRDefault="00AE2835" w:rsidP="00C10288">
            <w:pPr>
              <w:pStyle w:val="TableText"/>
            </w:pPr>
            <w:r w:rsidRPr="003E7106">
              <w:t>The Ministry of Health uses a similar costing template to discuss and agree the contract price for providing home-based services to disabled people (currently $26.10 per hour), not taking into account the costs of in-between travel.</w:t>
            </w:r>
          </w:p>
          <w:p w:rsidR="00AE2835" w:rsidRPr="003E7106" w:rsidRDefault="00AE2835" w:rsidP="00C10288">
            <w:pPr>
              <w:pStyle w:val="TableText"/>
            </w:pPr>
            <w:r w:rsidRPr="003E7106">
              <w:t>Providers operate within a competitive environment and may choose to offer higher wage rates to attract and retain staff and to compete for DHB contracts on the basis of workforce skill mix and quality of service provision. Alternatively, they may wish to compete on the basis of reduced overhead and/or margin costs. DHBs may choose to make strategic decisions to invest more in home and community services in the immediate term in anticipation of longer-term savings generated as a result of people being able to c</w:t>
            </w:r>
            <w:r w:rsidR="00C10288" w:rsidRPr="003E7106">
              <w:t>ontinue to live in their homes.</w:t>
            </w:r>
          </w:p>
        </w:tc>
      </w:tr>
      <w:tr w:rsidR="00AE2835" w:rsidRPr="003E7106" w:rsidTr="00C10288">
        <w:trPr>
          <w:cantSplit/>
        </w:trPr>
        <w:tc>
          <w:tcPr>
            <w:tcW w:w="2268" w:type="dxa"/>
            <w:tcBorders>
              <w:top w:val="nil"/>
              <w:left w:val="nil"/>
              <w:bottom w:val="nil"/>
              <w:right w:val="nil"/>
            </w:tcBorders>
            <w:shd w:val="clear" w:color="auto" w:fill="B8CCE4" w:themeFill="accent1" w:themeFillTint="66"/>
          </w:tcPr>
          <w:p w:rsidR="00AE2835" w:rsidRPr="003E7106" w:rsidRDefault="00AE2835" w:rsidP="00C10288">
            <w:pPr>
              <w:pStyle w:val="Heading2"/>
            </w:pPr>
            <w:bookmarkStart w:id="32" w:name="_Toc423677674"/>
            <w:bookmarkStart w:id="33" w:name="_Toc426009390"/>
            <w:r w:rsidRPr="003E7106">
              <w:t>Ministry of Health Home and Community Support Service Workforce Survey</w:t>
            </w:r>
            <w:bookmarkEnd w:id="32"/>
            <w:r w:rsidRPr="003E7106">
              <w:t xml:space="preserve"> 2015</w:t>
            </w:r>
            <w:bookmarkEnd w:id="33"/>
          </w:p>
        </w:tc>
        <w:tc>
          <w:tcPr>
            <w:tcW w:w="12333" w:type="dxa"/>
            <w:tcBorders>
              <w:top w:val="nil"/>
              <w:left w:val="nil"/>
              <w:bottom w:val="nil"/>
              <w:right w:val="nil"/>
            </w:tcBorders>
            <w:shd w:val="clear" w:color="auto" w:fill="auto"/>
          </w:tcPr>
          <w:p w:rsidR="00AE2835" w:rsidRPr="003E7106" w:rsidRDefault="00AE2835" w:rsidP="00C10288">
            <w:pPr>
              <w:pStyle w:val="TableText"/>
              <w:rPr>
                <w:rFonts w:cs="Arial"/>
              </w:rPr>
            </w:pPr>
            <w:r w:rsidRPr="003E7106">
              <w:rPr>
                <w:rFonts w:cs="Arial"/>
              </w:rPr>
              <w:t>The principal source of workforce data in this report is the Ministry of Health 2015 Home and Community Support Service Workforce Survey. The 76</w:t>
            </w:r>
            <w:r w:rsidR="00C10288" w:rsidRPr="003E7106">
              <w:rPr>
                <w:rFonts w:cs="Arial"/>
              </w:rPr>
              <w:t> </w:t>
            </w:r>
            <w:r w:rsidRPr="003E7106">
              <w:rPr>
                <w:rFonts w:cs="Arial"/>
              </w:rPr>
              <w:t>providers listed in the In-Between Travel Settlement Agreement were asked to supply workforce demographic data, including Support Worker hours worked, for the four-week period from 9 February to 8 March 2015. The results of the survey are incorporated in the various sections of this report.</w:t>
            </w:r>
          </w:p>
          <w:p w:rsidR="00AE2835" w:rsidRPr="003E7106" w:rsidRDefault="00AE2835" w:rsidP="00C10288">
            <w:pPr>
              <w:pStyle w:val="TableText"/>
              <w:rPr>
                <w:rFonts w:cs="Arial"/>
              </w:rPr>
            </w:pPr>
            <w:r w:rsidRPr="003E7106">
              <w:rPr>
                <w:rFonts w:cs="Arial"/>
              </w:rPr>
              <w:t>The Ministry received 33 responses to a standard questionnaire from a variety of small and large providers, a response rate of 42%. Collectively, the responses provide wage data covering 11,288 community support service workers. Not all providers were able to supply all of the requested information, and the analysis varies for each component. The applicable sample size is noted in each section. The data is considered to be representative of the sector, and therefore conclusions can be drawn on the demographics of the workforce and, in particular, the probable impact of transitioning to a regularised workforce.</w:t>
            </w:r>
          </w:p>
          <w:p w:rsidR="00AE2835" w:rsidRPr="003E7106" w:rsidRDefault="00AE2835" w:rsidP="00C10288">
            <w:pPr>
              <w:pStyle w:val="Table"/>
            </w:pPr>
            <w:r w:rsidRPr="003E7106">
              <w:t>Table 1: Number of Home and Community Support Workers, by employer size*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gridCol w:w="1276"/>
              <w:gridCol w:w="3473"/>
              <w:gridCol w:w="3473"/>
            </w:tblGrid>
            <w:tr w:rsidR="00AE2835" w:rsidRPr="003E7106" w:rsidTr="0098207A">
              <w:tc>
                <w:tcPr>
                  <w:tcW w:w="2722" w:type="dxa"/>
                  <w:vMerge w:val="restart"/>
                  <w:tcBorders>
                    <w:top w:val="single" w:sz="4" w:space="0" w:color="1F497D"/>
                    <w:left w:val="single" w:sz="4" w:space="0" w:color="1F497D"/>
                    <w:bottom w:val="single" w:sz="4" w:space="0" w:color="1F497D"/>
                    <w:right w:val="single" w:sz="4" w:space="0" w:color="1F497D"/>
                  </w:tcBorders>
                </w:tcPr>
                <w:p w:rsidR="00AE2835" w:rsidRPr="003E7106" w:rsidRDefault="00AE2835" w:rsidP="00C10288">
                  <w:pPr>
                    <w:pStyle w:val="TableText"/>
                    <w:jc w:val="center"/>
                    <w:rPr>
                      <w:rFonts w:cs="Arial"/>
                      <w:b/>
                    </w:rPr>
                  </w:pPr>
                  <w:r w:rsidRPr="003E7106">
                    <w:rPr>
                      <w:rFonts w:cs="Arial"/>
                      <w:b/>
                    </w:rPr>
                    <w:t>Provider size (number of Home and Community Support Workers on payroll)</w:t>
                  </w:r>
                </w:p>
              </w:tc>
              <w:tc>
                <w:tcPr>
                  <w:tcW w:w="1276" w:type="dxa"/>
                  <w:vMerge w:val="restart"/>
                  <w:tcBorders>
                    <w:top w:val="single" w:sz="4" w:space="0" w:color="1F497D"/>
                    <w:left w:val="single" w:sz="4" w:space="0" w:color="1F497D"/>
                    <w:bottom w:val="single" w:sz="4" w:space="0" w:color="1F497D"/>
                    <w:right w:val="single" w:sz="4" w:space="0" w:color="1F497D"/>
                  </w:tcBorders>
                </w:tcPr>
                <w:p w:rsidR="00AE2835" w:rsidRPr="003E7106" w:rsidRDefault="00AE2835" w:rsidP="00C10288">
                  <w:pPr>
                    <w:pStyle w:val="TableText"/>
                    <w:jc w:val="center"/>
                    <w:rPr>
                      <w:rFonts w:cs="Arial"/>
                      <w:b/>
                    </w:rPr>
                  </w:pPr>
                  <w:r w:rsidRPr="003E7106">
                    <w:rPr>
                      <w:rFonts w:cs="Arial"/>
                      <w:b/>
                    </w:rPr>
                    <w:t>Number of providers</w:t>
                  </w:r>
                </w:p>
              </w:tc>
              <w:tc>
                <w:tcPr>
                  <w:tcW w:w="6946" w:type="dxa"/>
                  <w:gridSpan w:val="2"/>
                  <w:tcBorders>
                    <w:top w:val="single" w:sz="4" w:space="0" w:color="1F497D"/>
                    <w:left w:val="single" w:sz="4" w:space="0" w:color="1F497D"/>
                    <w:bottom w:val="single" w:sz="4" w:space="0" w:color="1F497D"/>
                    <w:right w:val="single" w:sz="4" w:space="0" w:color="1F497D"/>
                  </w:tcBorders>
                </w:tcPr>
                <w:p w:rsidR="00AE2835" w:rsidRPr="003E7106" w:rsidRDefault="00AE2835" w:rsidP="00C10288">
                  <w:pPr>
                    <w:pStyle w:val="TableText"/>
                    <w:jc w:val="center"/>
                    <w:rPr>
                      <w:rFonts w:cs="Arial"/>
                      <w:b/>
                    </w:rPr>
                  </w:pPr>
                  <w:r w:rsidRPr="003E7106">
                    <w:rPr>
                      <w:rFonts w:cs="Arial"/>
                      <w:b/>
                    </w:rPr>
                    <w:t>Average number of Home and Community Support Workers</w:t>
                  </w:r>
                  <w:r w:rsidR="00C10288" w:rsidRPr="003E7106">
                    <w:rPr>
                      <w:rFonts w:cs="Arial"/>
                      <w:b/>
                    </w:rPr>
                    <w:t xml:space="preserve"> </w:t>
                  </w:r>
                  <w:r w:rsidRPr="003E7106">
                    <w:rPr>
                      <w:rFonts w:cs="Arial"/>
                      <w:b/>
                    </w:rPr>
                    <w:t>(3-week average)</w:t>
                  </w:r>
                </w:p>
              </w:tc>
            </w:tr>
            <w:tr w:rsidR="00AE2835" w:rsidRPr="003E7106" w:rsidTr="0098207A">
              <w:tc>
                <w:tcPr>
                  <w:tcW w:w="2722" w:type="dxa"/>
                  <w:vMerge/>
                  <w:tcBorders>
                    <w:top w:val="single" w:sz="4" w:space="0" w:color="1F497D"/>
                    <w:left w:val="single" w:sz="4" w:space="0" w:color="1F497D"/>
                    <w:bottom w:val="single" w:sz="4" w:space="0" w:color="1F497D"/>
                    <w:right w:val="single" w:sz="4" w:space="0" w:color="1F497D"/>
                  </w:tcBorders>
                </w:tcPr>
                <w:p w:rsidR="00AE2835" w:rsidRPr="003E7106" w:rsidRDefault="00AE2835" w:rsidP="00C10288">
                  <w:pPr>
                    <w:pStyle w:val="TableText"/>
                    <w:jc w:val="center"/>
                    <w:rPr>
                      <w:rFonts w:cs="Arial"/>
                      <w:b/>
                    </w:rPr>
                  </w:pPr>
                </w:p>
              </w:tc>
              <w:tc>
                <w:tcPr>
                  <w:tcW w:w="1276" w:type="dxa"/>
                  <w:vMerge/>
                  <w:tcBorders>
                    <w:top w:val="single" w:sz="4" w:space="0" w:color="1F497D"/>
                    <w:left w:val="single" w:sz="4" w:space="0" w:color="1F497D"/>
                    <w:bottom w:val="single" w:sz="4" w:space="0" w:color="1F497D"/>
                    <w:right w:val="single" w:sz="4" w:space="0" w:color="1F497D"/>
                  </w:tcBorders>
                </w:tcPr>
                <w:p w:rsidR="00AE2835" w:rsidRPr="003E7106" w:rsidRDefault="00AE2835" w:rsidP="00C10288">
                  <w:pPr>
                    <w:pStyle w:val="TableText"/>
                    <w:jc w:val="center"/>
                    <w:rPr>
                      <w:rFonts w:cs="Arial"/>
                      <w:b/>
                    </w:rPr>
                  </w:pPr>
                </w:p>
              </w:tc>
              <w:tc>
                <w:tcPr>
                  <w:tcW w:w="3473" w:type="dxa"/>
                  <w:tcBorders>
                    <w:top w:val="single" w:sz="4" w:space="0" w:color="1F497D"/>
                    <w:left w:val="single" w:sz="4" w:space="0" w:color="1F497D"/>
                    <w:bottom w:val="single" w:sz="4" w:space="0" w:color="1F497D"/>
                    <w:right w:val="single" w:sz="4" w:space="0" w:color="1F497D"/>
                  </w:tcBorders>
                </w:tcPr>
                <w:p w:rsidR="00AE2835" w:rsidRPr="003E7106" w:rsidRDefault="00AE2835" w:rsidP="00C10288">
                  <w:pPr>
                    <w:pStyle w:val="TableText"/>
                    <w:jc w:val="center"/>
                    <w:rPr>
                      <w:rFonts w:cs="Arial"/>
                      <w:b/>
                    </w:rPr>
                  </w:pPr>
                  <w:r w:rsidRPr="003E7106">
                    <w:rPr>
                      <w:rFonts w:cs="Arial"/>
                      <w:b/>
                    </w:rPr>
                    <w:t>Employed by each provider</w:t>
                  </w:r>
                </w:p>
              </w:tc>
              <w:tc>
                <w:tcPr>
                  <w:tcW w:w="3473" w:type="dxa"/>
                  <w:tcBorders>
                    <w:top w:val="single" w:sz="4" w:space="0" w:color="1F497D"/>
                    <w:left w:val="single" w:sz="4" w:space="0" w:color="1F497D"/>
                    <w:bottom w:val="single" w:sz="4" w:space="0" w:color="1F497D"/>
                    <w:right w:val="single" w:sz="4" w:space="0" w:color="1F497D"/>
                  </w:tcBorders>
                </w:tcPr>
                <w:p w:rsidR="00AE2835" w:rsidRPr="003E7106" w:rsidRDefault="00AE2835" w:rsidP="00C10288">
                  <w:pPr>
                    <w:pStyle w:val="TableText"/>
                    <w:jc w:val="center"/>
                    <w:rPr>
                      <w:rFonts w:cs="Arial"/>
                      <w:b/>
                    </w:rPr>
                  </w:pPr>
                  <w:r w:rsidRPr="003E7106">
                    <w:rPr>
                      <w:rFonts w:cs="Arial"/>
                      <w:b/>
                    </w:rPr>
                    <w:t>Worked during the survey pe</w:t>
                  </w:r>
                  <w:r w:rsidR="00C10288" w:rsidRPr="003E7106">
                    <w:rPr>
                      <w:rFonts w:cs="Arial"/>
                      <w:b/>
                    </w:rPr>
                    <w:t>riod</w:t>
                  </w:r>
                </w:p>
              </w:tc>
            </w:tr>
            <w:tr w:rsidR="00AE2835" w:rsidRPr="003E7106" w:rsidTr="0098207A">
              <w:trPr>
                <w:trHeight w:val="227"/>
              </w:trPr>
              <w:tc>
                <w:tcPr>
                  <w:tcW w:w="2722" w:type="dxa"/>
                  <w:tcBorders>
                    <w:top w:val="single" w:sz="4" w:space="0" w:color="1F497D"/>
                    <w:left w:val="single" w:sz="4" w:space="0" w:color="1F497D"/>
                    <w:bottom w:val="nil"/>
                    <w:right w:val="single" w:sz="4" w:space="0" w:color="1F497D"/>
                  </w:tcBorders>
                  <w:vAlign w:val="bottom"/>
                </w:tcPr>
                <w:p w:rsidR="00AE2835" w:rsidRPr="003E7106" w:rsidRDefault="00AE2835" w:rsidP="00C10288">
                  <w:pPr>
                    <w:pStyle w:val="TableText"/>
                    <w:ind w:left="567"/>
                    <w:rPr>
                      <w:rFonts w:cs="Arial"/>
                    </w:rPr>
                  </w:pPr>
                  <w:r w:rsidRPr="003E7106">
                    <w:rPr>
                      <w:rFonts w:cs="Arial"/>
                    </w:rPr>
                    <w:t>1−50</w:t>
                  </w:r>
                </w:p>
              </w:tc>
              <w:tc>
                <w:tcPr>
                  <w:tcW w:w="1276" w:type="dxa"/>
                  <w:tcBorders>
                    <w:top w:val="single" w:sz="4" w:space="0" w:color="1F497D"/>
                    <w:left w:val="single" w:sz="4" w:space="0" w:color="1F497D"/>
                    <w:bottom w:val="nil"/>
                    <w:right w:val="single" w:sz="4" w:space="0" w:color="1F497D"/>
                  </w:tcBorders>
                  <w:vAlign w:val="bottom"/>
                </w:tcPr>
                <w:p w:rsidR="00AE2835" w:rsidRPr="003E7106" w:rsidRDefault="00AE2835" w:rsidP="00C10288">
                  <w:pPr>
                    <w:pStyle w:val="TableText"/>
                    <w:tabs>
                      <w:tab w:val="decimal" w:pos="627"/>
                    </w:tabs>
                    <w:rPr>
                      <w:rFonts w:cs="Arial"/>
                    </w:rPr>
                  </w:pPr>
                  <w:r w:rsidRPr="003E7106">
                    <w:rPr>
                      <w:rFonts w:cs="Arial"/>
                    </w:rPr>
                    <w:t>12</w:t>
                  </w:r>
                </w:p>
              </w:tc>
              <w:tc>
                <w:tcPr>
                  <w:tcW w:w="3473" w:type="dxa"/>
                  <w:tcBorders>
                    <w:top w:val="single" w:sz="4" w:space="0" w:color="1F497D"/>
                    <w:left w:val="single" w:sz="4" w:space="0" w:color="1F497D"/>
                    <w:bottom w:val="nil"/>
                    <w:right w:val="single" w:sz="4" w:space="0" w:color="1F497D"/>
                  </w:tcBorders>
                  <w:vAlign w:val="bottom"/>
                </w:tcPr>
                <w:p w:rsidR="00AE2835" w:rsidRPr="003E7106" w:rsidRDefault="00AE2835" w:rsidP="00C10288">
                  <w:pPr>
                    <w:pStyle w:val="TableText"/>
                    <w:tabs>
                      <w:tab w:val="decimal" w:pos="1877"/>
                    </w:tabs>
                    <w:rPr>
                      <w:rFonts w:cs="Arial"/>
                    </w:rPr>
                  </w:pPr>
                  <w:r w:rsidRPr="003E7106">
                    <w:rPr>
                      <w:rFonts w:cs="Arial"/>
                    </w:rPr>
                    <w:t>26</w:t>
                  </w:r>
                </w:p>
              </w:tc>
              <w:tc>
                <w:tcPr>
                  <w:tcW w:w="3473" w:type="dxa"/>
                  <w:tcBorders>
                    <w:top w:val="single" w:sz="4" w:space="0" w:color="1F497D"/>
                    <w:left w:val="single" w:sz="4" w:space="0" w:color="1F497D"/>
                    <w:bottom w:val="nil"/>
                    <w:right w:val="single" w:sz="4" w:space="0" w:color="1F497D"/>
                  </w:tcBorders>
                  <w:vAlign w:val="bottom"/>
                </w:tcPr>
                <w:p w:rsidR="00AE2835" w:rsidRPr="003E7106" w:rsidRDefault="00AE2835" w:rsidP="00C10288">
                  <w:pPr>
                    <w:pStyle w:val="TableText"/>
                    <w:tabs>
                      <w:tab w:val="decimal" w:pos="1664"/>
                    </w:tabs>
                    <w:rPr>
                      <w:rFonts w:cs="Arial"/>
                    </w:rPr>
                  </w:pPr>
                  <w:r w:rsidRPr="003E7106">
                    <w:rPr>
                      <w:rFonts w:cs="Arial"/>
                    </w:rPr>
                    <w:t>24</w:t>
                  </w:r>
                </w:p>
              </w:tc>
            </w:tr>
            <w:tr w:rsidR="00AE2835" w:rsidRPr="003E7106" w:rsidTr="0098207A">
              <w:trPr>
                <w:trHeight w:val="227"/>
              </w:trPr>
              <w:tc>
                <w:tcPr>
                  <w:tcW w:w="2722" w:type="dxa"/>
                  <w:tcBorders>
                    <w:top w:val="nil"/>
                    <w:left w:val="single" w:sz="4" w:space="0" w:color="1F497D"/>
                    <w:bottom w:val="nil"/>
                    <w:right w:val="single" w:sz="4" w:space="0" w:color="1F497D"/>
                  </w:tcBorders>
                  <w:vAlign w:val="bottom"/>
                </w:tcPr>
                <w:p w:rsidR="00AE2835" w:rsidRPr="003E7106" w:rsidRDefault="00AE2835" w:rsidP="00C10288">
                  <w:pPr>
                    <w:pStyle w:val="TableText"/>
                    <w:spacing w:before="0"/>
                    <w:ind w:left="567"/>
                    <w:rPr>
                      <w:rFonts w:cs="Arial"/>
                    </w:rPr>
                  </w:pPr>
                  <w:r w:rsidRPr="003E7106">
                    <w:rPr>
                      <w:rFonts w:cs="Arial"/>
                    </w:rPr>
                    <w:t>51−100</w:t>
                  </w:r>
                </w:p>
              </w:tc>
              <w:tc>
                <w:tcPr>
                  <w:tcW w:w="1276" w:type="dxa"/>
                  <w:tcBorders>
                    <w:top w:val="nil"/>
                    <w:left w:val="single" w:sz="4" w:space="0" w:color="1F497D"/>
                    <w:bottom w:val="nil"/>
                    <w:right w:val="single" w:sz="4" w:space="0" w:color="1F497D"/>
                  </w:tcBorders>
                  <w:vAlign w:val="bottom"/>
                </w:tcPr>
                <w:p w:rsidR="00AE2835" w:rsidRPr="003E7106" w:rsidRDefault="00AE2835" w:rsidP="00C10288">
                  <w:pPr>
                    <w:pStyle w:val="TableText"/>
                    <w:tabs>
                      <w:tab w:val="decimal" w:pos="627"/>
                    </w:tabs>
                    <w:spacing w:before="0"/>
                    <w:rPr>
                      <w:rFonts w:cs="Arial"/>
                    </w:rPr>
                  </w:pPr>
                  <w:r w:rsidRPr="003E7106">
                    <w:rPr>
                      <w:rFonts w:cs="Arial"/>
                    </w:rPr>
                    <w:t>7</w:t>
                  </w:r>
                </w:p>
              </w:tc>
              <w:tc>
                <w:tcPr>
                  <w:tcW w:w="3473" w:type="dxa"/>
                  <w:tcBorders>
                    <w:top w:val="nil"/>
                    <w:left w:val="single" w:sz="4" w:space="0" w:color="1F497D"/>
                    <w:bottom w:val="nil"/>
                    <w:right w:val="single" w:sz="4" w:space="0" w:color="1F497D"/>
                  </w:tcBorders>
                  <w:vAlign w:val="bottom"/>
                </w:tcPr>
                <w:p w:rsidR="00AE2835" w:rsidRPr="003E7106" w:rsidRDefault="00AE2835" w:rsidP="00C10288">
                  <w:pPr>
                    <w:pStyle w:val="TableText"/>
                    <w:tabs>
                      <w:tab w:val="decimal" w:pos="1877"/>
                    </w:tabs>
                    <w:spacing w:before="0"/>
                    <w:rPr>
                      <w:rFonts w:cs="Arial"/>
                    </w:rPr>
                  </w:pPr>
                  <w:r w:rsidRPr="003E7106">
                    <w:rPr>
                      <w:rFonts w:cs="Arial"/>
                    </w:rPr>
                    <w:t>62</w:t>
                  </w:r>
                </w:p>
              </w:tc>
              <w:tc>
                <w:tcPr>
                  <w:tcW w:w="3473" w:type="dxa"/>
                  <w:tcBorders>
                    <w:top w:val="nil"/>
                    <w:left w:val="single" w:sz="4" w:space="0" w:color="1F497D"/>
                    <w:bottom w:val="nil"/>
                    <w:right w:val="single" w:sz="4" w:space="0" w:color="1F497D"/>
                  </w:tcBorders>
                  <w:vAlign w:val="bottom"/>
                </w:tcPr>
                <w:p w:rsidR="00AE2835" w:rsidRPr="003E7106" w:rsidRDefault="00AE2835" w:rsidP="00C10288">
                  <w:pPr>
                    <w:pStyle w:val="TableText"/>
                    <w:tabs>
                      <w:tab w:val="decimal" w:pos="1664"/>
                    </w:tabs>
                    <w:spacing w:before="0"/>
                    <w:rPr>
                      <w:rFonts w:cs="Arial"/>
                    </w:rPr>
                  </w:pPr>
                  <w:r w:rsidRPr="003E7106">
                    <w:rPr>
                      <w:rFonts w:cs="Arial"/>
                    </w:rPr>
                    <w:t>59</w:t>
                  </w:r>
                </w:p>
              </w:tc>
            </w:tr>
            <w:tr w:rsidR="00AE2835" w:rsidRPr="003E7106" w:rsidTr="0098207A">
              <w:trPr>
                <w:trHeight w:val="227"/>
              </w:trPr>
              <w:tc>
                <w:tcPr>
                  <w:tcW w:w="2722" w:type="dxa"/>
                  <w:tcBorders>
                    <w:top w:val="nil"/>
                    <w:left w:val="single" w:sz="4" w:space="0" w:color="1F497D"/>
                    <w:bottom w:val="nil"/>
                    <w:right w:val="single" w:sz="4" w:space="0" w:color="1F497D"/>
                  </w:tcBorders>
                  <w:vAlign w:val="bottom"/>
                </w:tcPr>
                <w:p w:rsidR="00AE2835" w:rsidRPr="003E7106" w:rsidRDefault="00AE2835" w:rsidP="00C10288">
                  <w:pPr>
                    <w:pStyle w:val="TableText"/>
                    <w:spacing w:before="0"/>
                    <w:ind w:left="567"/>
                    <w:rPr>
                      <w:rFonts w:cs="Arial"/>
                    </w:rPr>
                  </w:pPr>
                  <w:r w:rsidRPr="003E7106">
                    <w:rPr>
                      <w:rFonts w:cs="Arial"/>
                    </w:rPr>
                    <w:t>101−200</w:t>
                  </w:r>
                </w:p>
              </w:tc>
              <w:tc>
                <w:tcPr>
                  <w:tcW w:w="1276" w:type="dxa"/>
                  <w:tcBorders>
                    <w:top w:val="nil"/>
                    <w:left w:val="single" w:sz="4" w:space="0" w:color="1F497D"/>
                    <w:bottom w:val="nil"/>
                    <w:right w:val="single" w:sz="4" w:space="0" w:color="1F497D"/>
                  </w:tcBorders>
                  <w:vAlign w:val="bottom"/>
                </w:tcPr>
                <w:p w:rsidR="00AE2835" w:rsidRPr="003E7106" w:rsidRDefault="00C10288" w:rsidP="00C10288">
                  <w:pPr>
                    <w:pStyle w:val="TableText"/>
                    <w:tabs>
                      <w:tab w:val="decimal" w:pos="627"/>
                    </w:tabs>
                    <w:spacing w:before="0"/>
                    <w:rPr>
                      <w:rFonts w:cs="Arial"/>
                    </w:rPr>
                  </w:pPr>
                  <w:r w:rsidRPr="003E7106">
                    <w:rPr>
                      <w:rFonts w:cs="Arial"/>
                    </w:rPr>
                    <w:t>5</w:t>
                  </w:r>
                </w:p>
              </w:tc>
              <w:tc>
                <w:tcPr>
                  <w:tcW w:w="3473" w:type="dxa"/>
                  <w:tcBorders>
                    <w:top w:val="nil"/>
                    <w:left w:val="single" w:sz="4" w:space="0" w:color="1F497D"/>
                    <w:bottom w:val="nil"/>
                    <w:right w:val="single" w:sz="4" w:space="0" w:color="1F497D"/>
                  </w:tcBorders>
                  <w:vAlign w:val="bottom"/>
                </w:tcPr>
                <w:p w:rsidR="00AE2835" w:rsidRPr="003E7106" w:rsidRDefault="00AE2835" w:rsidP="00C10288">
                  <w:pPr>
                    <w:pStyle w:val="TableText"/>
                    <w:tabs>
                      <w:tab w:val="decimal" w:pos="1877"/>
                    </w:tabs>
                    <w:spacing w:before="0"/>
                    <w:rPr>
                      <w:rFonts w:cs="Arial"/>
                    </w:rPr>
                  </w:pPr>
                  <w:r w:rsidRPr="003E7106">
                    <w:rPr>
                      <w:rFonts w:cs="Arial"/>
                    </w:rPr>
                    <w:t>161</w:t>
                  </w:r>
                </w:p>
              </w:tc>
              <w:tc>
                <w:tcPr>
                  <w:tcW w:w="3473" w:type="dxa"/>
                  <w:tcBorders>
                    <w:top w:val="nil"/>
                    <w:left w:val="single" w:sz="4" w:space="0" w:color="1F497D"/>
                    <w:bottom w:val="nil"/>
                    <w:right w:val="single" w:sz="4" w:space="0" w:color="1F497D"/>
                  </w:tcBorders>
                  <w:vAlign w:val="bottom"/>
                </w:tcPr>
                <w:p w:rsidR="00AE2835" w:rsidRPr="003E7106" w:rsidRDefault="00AE2835" w:rsidP="00C10288">
                  <w:pPr>
                    <w:pStyle w:val="TableText"/>
                    <w:tabs>
                      <w:tab w:val="decimal" w:pos="1664"/>
                    </w:tabs>
                    <w:spacing w:before="0"/>
                    <w:rPr>
                      <w:rFonts w:cs="Arial"/>
                    </w:rPr>
                  </w:pPr>
                  <w:r w:rsidRPr="003E7106">
                    <w:rPr>
                      <w:rFonts w:cs="Arial"/>
                    </w:rPr>
                    <w:t>156</w:t>
                  </w:r>
                </w:p>
              </w:tc>
            </w:tr>
            <w:tr w:rsidR="00AE2835" w:rsidRPr="003E7106" w:rsidTr="0098207A">
              <w:trPr>
                <w:trHeight w:val="227"/>
              </w:trPr>
              <w:tc>
                <w:tcPr>
                  <w:tcW w:w="2722" w:type="dxa"/>
                  <w:tcBorders>
                    <w:top w:val="nil"/>
                    <w:left w:val="single" w:sz="4" w:space="0" w:color="1F497D"/>
                    <w:bottom w:val="nil"/>
                    <w:right w:val="single" w:sz="4" w:space="0" w:color="1F497D"/>
                  </w:tcBorders>
                  <w:vAlign w:val="bottom"/>
                </w:tcPr>
                <w:p w:rsidR="00AE2835" w:rsidRPr="003E7106" w:rsidRDefault="00AE2835" w:rsidP="00C10288">
                  <w:pPr>
                    <w:pStyle w:val="TableText"/>
                    <w:spacing w:before="0"/>
                    <w:ind w:left="567"/>
                    <w:rPr>
                      <w:rFonts w:cs="Arial"/>
                    </w:rPr>
                  </w:pPr>
                  <w:r w:rsidRPr="003E7106">
                    <w:rPr>
                      <w:rFonts w:cs="Arial"/>
                    </w:rPr>
                    <w:t>201−300</w:t>
                  </w:r>
                </w:p>
              </w:tc>
              <w:tc>
                <w:tcPr>
                  <w:tcW w:w="1276" w:type="dxa"/>
                  <w:tcBorders>
                    <w:top w:val="nil"/>
                    <w:left w:val="single" w:sz="4" w:space="0" w:color="1F497D"/>
                    <w:bottom w:val="nil"/>
                    <w:right w:val="single" w:sz="4" w:space="0" w:color="1F497D"/>
                  </w:tcBorders>
                  <w:vAlign w:val="bottom"/>
                </w:tcPr>
                <w:p w:rsidR="00AE2835" w:rsidRPr="003E7106" w:rsidRDefault="00AE2835" w:rsidP="00C10288">
                  <w:pPr>
                    <w:pStyle w:val="TableText"/>
                    <w:tabs>
                      <w:tab w:val="decimal" w:pos="627"/>
                    </w:tabs>
                    <w:spacing w:before="0"/>
                    <w:rPr>
                      <w:rFonts w:cs="Arial"/>
                    </w:rPr>
                  </w:pPr>
                  <w:r w:rsidRPr="003E7106">
                    <w:rPr>
                      <w:rFonts w:cs="Arial"/>
                    </w:rPr>
                    <w:t>3</w:t>
                  </w:r>
                </w:p>
              </w:tc>
              <w:tc>
                <w:tcPr>
                  <w:tcW w:w="3473" w:type="dxa"/>
                  <w:tcBorders>
                    <w:top w:val="nil"/>
                    <w:left w:val="single" w:sz="4" w:space="0" w:color="1F497D"/>
                    <w:bottom w:val="nil"/>
                    <w:right w:val="single" w:sz="4" w:space="0" w:color="1F497D"/>
                  </w:tcBorders>
                  <w:vAlign w:val="bottom"/>
                </w:tcPr>
                <w:p w:rsidR="00AE2835" w:rsidRPr="003E7106" w:rsidRDefault="00AE2835" w:rsidP="00C10288">
                  <w:pPr>
                    <w:pStyle w:val="TableText"/>
                    <w:tabs>
                      <w:tab w:val="decimal" w:pos="1877"/>
                    </w:tabs>
                    <w:spacing w:before="0"/>
                    <w:rPr>
                      <w:rFonts w:cs="Arial"/>
                    </w:rPr>
                  </w:pPr>
                  <w:r w:rsidRPr="003E7106">
                    <w:rPr>
                      <w:rFonts w:cs="Arial"/>
                    </w:rPr>
                    <w:t>248</w:t>
                  </w:r>
                </w:p>
              </w:tc>
              <w:tc>
                <w:tcPr>
                  <w:tcW w:w="3473" w:type="dxa"/>
                  <w:tcBorders>
                    <w:top w:val="nil"/>
                    <w:left w:val="single" w:sz="4" w:space="0" w:color="1F497D"/>
                    <w:bottom w:val="nil"/>
                    <w:right w:val="single" w:sz="4" w:space="0" w:color="1F497D"/>
                  </w:tcBorders>
                  <w:vAlign w:val="bottom"/>
                </w:tcPr>
                <w:p w:rsidR="00AE2835" w:rsidRPr="003E7106" w:rsidRDefault="00AE2835" w:rsidP="00C10288">
                  <w:pPr>
                    <w:pStyle w:val="TableText"/>
                    <w:tabs>
                      <w:tab w:val="decimal" w:pos="1664"/>
                    </w:tabs>
                    <w:spacing w:before="0"/>
                    <w:rPr>
                      <w:rFonts w:cs="Arial"/>
                    </w:rPr>
                  </w:pPr>
                  <w:r w:rsidRPr="003E7106">
                    <w:rPr>
                      <w:rFonts w:cs="Arial"/>
                    </w:rPr>
                    <w:t>180</w:t>
                  </w:r>
                </w:p>
              </w:tc>
            </w:tr>
            <w:tr w:rsidR="00AE2835" w:rsidRPr="003E7106" w:rsidTr="0098207A">
              <w:trPr>
                <w:trHeight w:val="227"/>
              </w:trPr>
              <w:tc>
                <w:tcPr>
                  <w:tcW w:w="2722" w:type="dxa"/>
                  <w:tcBorders>
                    <w:top w:val="nil"/>
                    <w:left w:val="single" w:sz="4" w:space="0" w:color="1F497D"/>
                    <w:bottom w:val="nil"/>
                    <w:right w:val="single" w:sz="4" w:space="0" w:color="1F497D"/>
                  </w:tcBorders>
                  <w:vAlign w:val="bottom"/>
                </w:tcPr>
                <w:p w:rsidR="00AE2835" w:rsidRPr="003E7106" w:rsidRDefault="00AE2835" w:rsidP="00C10288">
                  <w:pPr>
                    <w:pStyle w:val="TableText"/>
                    <w:spacing w:before="0"/>
                    <w:ind w:left="567"/>
                    <w:rPr>
                      <w:rFonts w:cs="Arial"/>
                    </w:rPr>
                  </w:pPr>
                  <w:r w:rsidRPr="003E7106">
                    <w:rPr>
                      <w:rFonts w:cs="Arial"/>
                    </w:rPr>
                    <w:t>301−600</w:t>
                  </w:r>
                </w:p>
              </w:tc>
              <w:tc>
                <w:tcPr>
                  <w:tcW w:w="1276" w:type="dxa"/>
                  <w:tcBorders>
                    <w:top w:val="nil"/>
                    <w:left w:val="single" w:sz="4" w:space="0" w:color="1F497D"/>
                    <w:bottom w:val="nil"/>
                    <w:right w:val="single" w:sz="4" w:space="0" w:color="1F497D"/>
                  </w:tcBorders>
                  <w:vAlign w:val="bottom"/>
                </w:tcPr>
                <w:p w:rsidR="00AE2835" w:rsidRPr="003E7106" w:rsidRDefault="00AE2835" w:rsidP="00C10288">
                  <w:pPr>
                    <w:pStyle w:val="TableText"/>
                    <w:tabs>
                      <w:tab w:val="decimal" w:pos="627"/>
                    </w:tabs>
                    <w:spacing w:before="0"/>
                    <w:rPr>
                      <w:rFonts w:cs="Arial"/>
                    </w:rPr>
                  </w:pPr>
                  <w:r w:rsidRPr="003E7106">
                    <w:rPr>
                      <w:rFonts w:cs="Arial"/>
                    </w:rPr>
                    <w:t>3</w:t>
                  </w:r>
                </w:p>
              </w:tc>
              <w:tc>
                <w:tcPr>
                  <w:tcW w:w="3473" w:type="dxa"/>
                  <w:tcBorders>
                    <w:top w:val="nil"/>
                    <w:left w:val="single" w:sz="4" w:space="0" w:color="1F497D"/>
                    <w:bottom w:val="nil"/>
                    <w:right w:val="single" w:sz="4" w:space="0" w:color="1F497D"/>
                  </w:tcBorders>
                  <w:vAlign w:val="bottom"/>
                </w:tcPr>
                <w:p w:rsidR="00AE2835" w:rsidRPr="003E7106" w:rsidRDefault="00AE2835" w:rsidP="00C10288">
                  <w:pPr>
                    <w:pStyle w:val="TableText"/>
                    <w:tabs>
                      <w:tab w:val="decimal" w:pos="1877"/>
                    </w:tabs>
                    <w:spacing w:before="0"/>
                    <w:rPr>
                      <w:rFonts w:cs="Arial"/>
                    </w:rPr>
                  </w:pPr>
                  <w:r w:rsidRPr="003E7106">
                    <w:rPr>
                      <w:rFonts w:cs="Arial"/>
                    </w:rPr>
                    <w:t>415</w:t>
                  </w:r>
                </w:p>
              </w:tc>
              <w:tc>
                <w:tcPr>
                  <w:tcW w:w="3473" w:type="dxa"/>
                  <w:tcBorders>
                    <w:top w:val="nil"/>
                    <w:left w:val="single" w:sz="4" w:space="0" w:color="1F497D"/>
                    <w:bottom w:val="nil"/>
                    <w:right w:val="single" w:sz="4" w:space="0" w:color="1F497D"/>
                  </w:tcBorders>
                  <w:vAlign w:val="bottom"/>
                </w:tcPr>
                <w:p w:rsidR="00AE2835" w:rsidRPr="003E7106" w:rsidRDefault="00AE2835" w:rsidP="00C10288">
                  <w:pPr>
                    <w:pStyle w:val="TableText"/>
                    <w:tabs>
                      <w:tab w:val="decimal" w:pos="1664"/>
                    </w:tabs>
                    <w:spacing w:before="0"/>
                    <w:rPr>
                      <w:rFonts w:cs="Arial"/>
                    </w:rPr>
                  </w:pPr>
                  <w:r w:rsidRPr="003E7106">
                    <w:rPr>
                      <w:rFonts w:cs="Arial"/>
                    </w:rPr>
                    <w:t>408</w:t>
                  </w:r>
                </w:p>
              </w:tc>
            </w:tr>
            <w:tr w:rsidR="00AE2835" w:rsidRPr="003E7106" w:rsidTr="0098207A">
              <w:trPr>
                <w:trHeight w:val="227"/>
              </w:trPr>
              <w:tc>
                <w:tcPr>
                  <w:tcW w:w="2722" w:type="dxa"/>
                  <w:tcBorders>
                    <w:top w:val="nil"/>
                    <w:left w:val="single" w:sz="4" w:space="0" w:color="1F497D"/>
                    <w:bottom w:val="single" w:sz="4" w:space="0" w:color="1F497D"/>
                    <w:right w:val="single" w:sz="4" w:space="0" w:color="1F497D"/>
                  </w:tcBorders>
                  <w:vAlign w:val="bottom"/>
                </w:tcPr>
                <w:p w:rsidR="00AE2835" w:rsidRPr="003E7106" w:rsidRDefault="00AE2835" w:rsidP="00C10288">
                  <w:pPr>
                    <w:pStyle w:val="TableText"/>
                    <w:spacing w:before="0"/>
                    <w:ind w:left="567"/>
                    <w:rPr>
                      <w:rFonts w:cs="Arial"/>
                    </w:rPr>
                  </w:pPr>
                  <w:r w:rsidRPr="003E7106">
                    <w:rPr>
                      <w:rFonts w:cs="Arial"/>
                    </w:rPr>
                    <w:t>1501+**</w:t>
                  </w:r>
                </w:p>
              </w:tc>
              <w:tc>
                <w:tcPr>
                  <w:tcW w:w="1276" w:type="dxa"/>
                  <w:tcBorders>
                    <w:top w:val="nil"/>
                    <w:left w:val="single" w:sz="4" w:space="0" w:color="1F497D"/>
                    <w:bottom w:val="single" w:sz="4" w:space="0" w:color="1F497D"/>
                    <w:right w:val="single" w:sz="4" w:space="0" w:color="1F497D"/>
                  </w:tcBorders>
                  <w:vAlign w:val="bottom"/>
                </w:tcPr>
                <w:p w:rsidR="00AE2835" w:rsidRPr="003E7106" w:rsidRDefault="00AE2835" w:rsidP="00C10288">
                  <w:pPr>
                    <w:pStyle w:val="TableText"/>
                    <w:tabs>
                      <w:tab w:val="decimal" w:pos="627"/>
                    </w:tabs>
                    <w:spacing w:before="0"/>
                    <w:rPr>
                      <w:rFonts w:cs="Arial"/>
                    </w:rPr>
                  </w:pPr>
                  <w:r w:rsidRPr="003E7106">
                    <w:rPr>
                      <w:rFonts w:cs="Arial"/>
                    </w:rPr>
                    <w:t>12</w:t>
                  </w:r>
                </w:p>
              </w:tc>
              <w:tc>
                <w:tcPr>
                  <w:tcW w:w="3473" w:type="dxa"/>
                  <w:tcBorders>
                    <w:top w:val="nil"/>
                    <w:left w:val="single" w:sz="4" w:space="0" w:color="1F497D"/>
                    <w:bottom w:val="single" w:sz="4" w:space="0" w:color="1F497D"/>
                    <w:right w:val="single" w:sz="4" w:space="0" w:color="1F497D"/>
                  </w:tcBorders>
                  <w:vAlign w:val="bottom"/>
                </w:tcPr>
                <w:p w:rsidR="00AE2835" w:rsidRPr="003E7106" w:rsidRDefault="00AE2835" w:rsidP="00C10288">
                  <w:pPr>
                    <w:pStyle w:val="TableText"/>
                    <w:tabs>
                      <w:tab w:val="decimal" w:pos="1877"/>
                    </w:tabs>
                    <w:spacing w:before="0"/>
                    <w:rPr>
                      <w:rFonts w:cs="Arial"/>
                    </w:rPr>
                  </w:pPr>
                  <w:r w:rsidRPr="003E7106">
                    <w:rPr>
                      <w:rFonts w:cs="Arial"/>
                    </w:rPr>
                    <w:t>2344</w:t>
                  </w:r>
                </w:p>
              </w:tc>
              <w:tc>
                <w:tcPr>
                  <w:tcW w:w="3473" w:type="dxa"/>
                  <w:tcBorders>
                    <w:top w:val="nil"/>
                    <w:left w:val="single" w:sz="4" w:space="0" w:color="1F497D"/>
                    <w:bottom w:val="single" w:sz="4" w:space="0" w:color="1F497D"/>
                    <w:right w:val="single" w:sz="4" w:space="0" w:color="1F497D"/>
                  </w:tcBorders>
                  <w:vAlign w:val="center"/>
                </w:tcPr>
                <w:p w:rsidR="00AE2835" w:rsidRPr="003E7106" w:rsidRDefault="00AE2835" w:rsidP="00C10288">
                  <w:pPr>
                    <w:pStyle w:val="TableText"/>
                    <w:spacing w:before="0"/>
                    <w:jc w:val="center"/>
                    <w:rPr>
                      <w:rFonts w:cs="Arial"/>
                    </w:rPr>
                  </w:pPr>
                  <w:r w:rsidRPr="003E7106">
                    <w:rPr>
                      <w:rFonts w:cs="Arial"/>
                    </w:rPr>
                    <w:t>2680***</w:t>
                  </w:r>
                </w:p>
              </w:tc>
            </w:tr>
            <w:tr w:rsidR="00AE2835" w:rsidRPr="003E7106" w:rsidTr="0098207A">
              <w:trPr>
                <w:trHeight w:val="227"/>
              </w:trPr>
              <w:tc>
                <w:tcPr>
                  <w:tcW w:w="2722" w:type="dxa"/>
                  <w:tcBorders>
                    <w:top w:val="single" w:sz="4" w:space="0" w:color="1F497D"/>
                    <w:left w:val="single" w:sz="4" w:space="0" w:color="1F497D"/>
                    <w:bottom w:val="single" w:sz="4" w:space="0" w:color="1F497D"/>
                    <w:right w:val="single" w:sz="4" w:space="0" w:color="1F497D"/>
                  </w:tcBorders>
                  <w:vAlign w:val="center"/>
                </w:tcPr>
                <w:p w:rsidR="00AE2835" w:rsidRPr="003E7106" w:rsidRDefault="00AE2835" w:rsidP="00C10288">
                  <w:pPr>
                    <w:pStyle w:val="TableText"/>
                    <w:ind w:left="567"/>
                    <w:rPr>
                      <w:rFonts w:cs="Arial"/>
                    </w:rPr>
                  </w:pPr>
                  <w:r w:rsidRPr="003E7106">
                    <w:rPr>
                      <w:rFonts w:cs="Arial"/>
                    </w:rPr>
                    <w:t>Total</w:t>
                  </w:r>
                </w:p>
              </w:tc>
              <w:tc>
                <w:tcPr>
                  <w:tcW w:w="1276" w:type="dxa"/>
                  <w:tcBorders>
                    <w:top w:val="single" w:sz="4" w:space="0" w:color="1F497D"/>
                    <w:left w:val="single" w:sz="4" w:space="0" w:color="1F497D"/>
                    <w:bottom w:val="single" w:sz="4" w:space="0" w:color="1F497D"/>
                    <w:right w:val="single" w:sz="4" w:space="0" w:color="1F497D"/>
                  </w:tcBorders>
                  <w:vAlign w:val="center"/>
                </w:tcPr>
                <w:p w:rsidR="00AE2835" w:rsidRPr="003E7106" w:rsidRDefault="00AE2835" w:rsidP="00C10288">
                  <w:pPr>
                    <w:pStyle w:val="TableText"/>
                    <w:tabs>
                      <w:tab w:val="decimal" w:pos="627"/>
                    </w:tabs>
                    <w:rPr>
                      <w:rFonts w:cs="Arial"/>
                    </w:rPr>
                  </w:pPr>
                  <w:r w:rsidRPr="003E7106">
                    <w:rPr>
                      <w:rFonts w:cs="Arial"/>
                    </w:rPr>
                    <w:t>33</w:t>
                  </w:r>
                </w:p>
              </w:tc>
              <w:tc>
                <w:tcPr>
                  <w:tcW w:w="3473" w:type="dxa"/>
                  <w:tcBorders>
                    <w:top w:val="single" w:sz="4" w:space="0" w:color="1F497D"/>
                    <w:left w:val="single" w:sz="4" w:space="0" w:color="1F497D"/>
                    <w:bottom w:val="single" w:sz="4" w:space="0" w:color="1F497D"/>
                    <w:right w:val="single" w:sz="4" w:space="0" w:color="1F497D"/>
                  </w:tcBorders>
                  <w:vAlign w:val="center"/>
                </w:tcPr>
                <w:p w:rsidR="00AE2835" w:rsidRPr="003E7106" w:rsidRDefault="00AE2835" w:rsidP="00C10288">
                  <w:pPr>
                    <w:pStyle w:val="TableText"/>
                    <w:jc w:val="center"/>
                    <w:rPr>
                      <w:rFonts w:cs="Arial"/>
                    </w:rPr>
                  </w:pPr>
                  <w:r w:rsidRPr="003E7106">
                    <w:rPr>
                      <w:rFonts w:cs="Arial"/>
                    </w:rPr>
                    <w:t>N/A</w:t>
                  </w:r>
                </w:p>
              </w:tc>
              <w:tc>
                <w:tcPr>
                  <w:tcW w:w="3473" w:type="dxa"/>
                  <w:tcBorders>
                    <w:top w:val="single" w:sz="4" w:space="0" w:color="1F497D"/>
                    <w:left w:val="single" w:sz="4" w:space="0" w:color="1F497D"/>
                    <w:bottom w:val="single" w:sz="4" w:space="0" w:color="1F497D"/>
                    <w:right w:val="single" w:sz="4" w:space="0" w:color="1F497D"/>
                  </w:tcBorders>
                  <w:vAlign w:val="center"/>
                </w:tcPr>
                <w:p w:rsidR="00AE2835" w:rsidRPr="003E7106" w:rsidRDefault="00AE2835" w:rsidP="00C10288">
                  <w:pPr>
                    <w:pStyle w:val="TableText"/>
                    <w:tabs>
                      <w:tab w:val="decimal" w:pos="1678"/>
                    </w:tabs>
                    <w:rPr>
                      <w:rFonts w:cs="Arial"/>
                    </w:rPr>
                  </w:pPr>
                  <w:r w:rsidRPr="003E7106">
                    <w:rPr>
                      <w:rFonts w:cs="Arial"/>
                    </w:rPr>
                    <w:t>N/A</w:t>
                  </w:r>
                </w:p>
              </w:tc>
            </w:tr>
          </w:tbl>
          <w:p w:rsidR="00AE2835" w:rsidRPr="003E7106" w:rsidRDefault="00AE2835" w:rsidP="00C10288">
            <w:pPr>
              <w:pStyle w:val="Note"/>
            </w:pPr>
            <w:r w:rsidRPr="003E7106">
              <w:t>*</w:t>
            </w:r>
            <w:r w:rsidR="00C10288" w:rsidRPr="003E7106">
              <w:tab/>
            </w:r>
            <w:r w:rsidRPr="003E7106">
              <w:t>33 providers, 11,288 Home and Community Support Workers.</w:t>
            </w:r>
          </w:p>
          <w:p w:rsidR="00AE2835" w:rsidRPr="003E7106" w:rsidRDefault="00AE2835" w:rsidP="00C10288">
            <w:pPr>
              <w:pStyle w:val="Note"/>
            </w:pPr>
            <w:r w:rsidRPr="003E7106">
              <w:t>**</w:t>
            </w:r>
            <w:r w:rsidR="00C10288" w:rsidRPr="003E7106">
              <w:tab/>
            </w:r>
            <w:r w:rsidRPr="003E7106">
              <w:t>There are no, or very few employers who have between 601 and 1150 employees in 2015</w:t>
            </w:r>
            <w:r w:rsidR="00C10288" w:rsidRPr="003E7106">
              <w:t>.</w:t>
            </w:r>
          </w:p>
          <w:p w:rsidR="00AE2835" w:rsidRPr="003E7106" w:rsidRDefault="00AE2835" w:rsidP="00C10288">
            <w:pPr>
              <w:pStyle w:val="Note"/>
            </w:pPr>
            <w:r w:rsidRPr="003E7106">
              <w:t>***</w:t>
            </w:r>
            <w:r w:rsidR="00C10288" w:rsidRPr="003E7106">
              <w:tab/>
            </w:r>
            <w:r w:rsidRPr="003E7106">
              <w:t>This rate for this category is derived from the providers that were able to supply this information</w:t>
            </w:r>
            <w:r w:rsidR="00C10288" w:rsidRPr="003E7106">
              <w:t>.</w:t>
            </w:r>
          </w:p>
        </w:tc>
      </w:tr>
    </w:tbl>
    <w:p w:rsidR="00AE2835" w:rsidRPr="003E7106" w:rsidRDefault="00AE2835" w:rsidP="00C10288"/>
    <w:p w:rsidR="00C10288" w:rsidRPr="003E7106" w:rsidRDefault="00C10288" w:rsidP="00C10288">
      <w:bookmarkStart w:id="34" w:name="_Toc423677675"/>
      <w:r w:rsidRPr="003E7106">
        <w:br w:type="page"/>
      </w:r>
    </w:p>
    <w:p w:rsidR="00C10288" w:rsidRPr="003E7106" w:rsidRDefault="00C10288" w:rsidP="00C10288">
      <w:pPr>
        <w:pStyle w:val="Heading1"/>
      </w:pPr>
      <w:bookmarkStart w:id="35" w:name="_Toc426009391"/>
      <w:r w:rsidRPr="003E7106">
        <w:t>Growing demand and more complex care for HCSS</w:t>
      </w:r>
      <w:bookmarkEnd w:id="34"/>
      <w:bookmarkEnd w:id="3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2333"/>
      </w:tblGrid>
      <w:tr w:rsidR="00C10288" w:rsidRPr="003E7106" w:rsidTr="00C10288">
        <w:trPr>
          <w:cantSplit/>
          <w:tblHeader/>
        </w:trPr>
        <w:tc>
          <w:tcPr>
            <w:tcW w:w="2268" w:type="dxa"/>
            <w:tcBorders>
              <w:top w:val="nil"/>
              <w:bottom w:val="nil"/>
              <w:right w:val="nil"/>
            </w:tcBorders>
            <w:shd w:val="clear" w:color="auto" w:fill="1F497D" w:themeFill="text2"/>
          </w:tcPr>
          <w:p w:rsidR="00AE2835" w:rsidRPr="003E7106" w:rsidRDefault="00AE2835" w:rsidP="00C10288">
            <w:pPr>
              <w:pStyle w:val="TableText"/>
              <w:rPr>
                <w:b/>
                <w:color w:val="FFFFFF" w:themeColor="background1"/>
              </w:rPr>
            </w:pPr>
            <w:r w:rsidRPr="003E7106">
              <w:rPr>
                <w:b/>
                <w:color w:val="FFFFFF" w:themeColor="background1"/>
              </w:rPr>
              <w:t>Area</w:t>
            </w:r>
          </w:p>
        </w:tc>
        <w:tc>
          <w:tcPr>
            <w:tcW w:w="12333" w:type="dxa"/>
            <w:tcBorders>
              <w:top w:val="nil"/>
              <w:left w:val="nil"/>
              <w:bottom w:val="nil"/>
            </w:tcBorders>
            <w:shd w:val="clear" w:color="auto" w:fill="1F497D" w:themeFill="text2"/>
          </w:tcPr>
          <w:p w:rsidR="00AE2835" w:rsidRPr="003E7106" w:rsidRDefault="00AE2835" w:rsidP="00C10288">
            <w:pPr>
              <w:pStyle w:val="TableText"/>
              <w:rPr>
                <w:b/>
                <w:color w:val="FFFFFF" w:themeColor="background1"/>
              </w:rPr>
            </w:pPr>
            <w:r w:rsidRPr="003E7106">
              <w:rPr>
                <w:b/>
                <w:color w:val="FFFFFF" w:themeColor="background1"/>
              </w:rPr>
              <w:t>Key observations</w:t>
            </w:r>
          </w:p>
        </w:tc>
      </w:tr>
      <w:tr w:rsidR="00AE2835" w:rsidRPr="003E7106" w:rsidTr="00C10288">
        <w:trPr>
          <w:cantSplit/>
        </w:trPr>
        <w:tc>
          <w:tcPr>
            <w:tcW w:w="2268" w:type="dxa"/>
            <w:tcBorders>
              <w:top w:val="nil"/>
              <w:left w:val="nil"/>
              <w:bottom w:val="nil"/>
              <w:right w:val="nil"/>
            </w:tcBorders>
            <w:shd w:val="clear" w:color="auto" w:fill="B8CCE4" w:themeFill="accent1" w:themeFillTint="66"/>
          </w:tcPr>
          <w:p w:rsidR="00AE2835" w:rsidRPr="003E7106" w:rsidRDefault="00AE2835" w:rsidP="00C10288">
            <w:pPr>
              <w:pStyle w:val="Heading3"/>
            </w:pPr>
            <w:r w:rsidRPr="003E7106">
              <w:t>Growing demand for home and community support services</w:t>
            </w:r>
          </w:p>
        </w:tc>
        <w:tc>
          <w:tcPr>
            <w:tcW w:w="12333" w:type="dxa"/>
            <w:tcBorders>
              <w:top w:val="nil"/>
              <w:left w:val="nil"/>
              <w:bottom w:val="nil"/>
              <w:right w:val="nil"/>
            </w:tcBorders>
            <w:shd w:val="clear" w:color="auto" w:fill="auto"/>
          </w:tcPr>
          <w:p w:rsidR="00AE2835" w:rsidRPr="003E7106" w:rsidRDefault="00AE2835" w:rsidP="00FD2E53">
            <w:pPr>
              <w:pStyle w:val="TableText"/>
            </w:pPr>
            <w:r w:rsidRPr="003E7106">
              <w:t>The demand for HCSS is expected to grow as the proportion of New Zealanders aged 65 and over increases faster than ever before relative to the rest of the population. People in the over-85 years age group are often living with chronic long-term conditions and comorbidities. The Ministry of Health reports that in 2012/13 approximately one in four people aged 85 years and over lived in aged residential care, which means that an estimated 75% of this age group were still living in their own homes. Government policy supports older people staying in their homes for as long as they can safely do so. The opportunity to live at home is the preferred option for many disabled clients as well.</w:t>
            </w:r>
          </w:p>
        </w:tc>
      </w:tr>
      <w:tr w:rsidR="00C10288" w:rsidRPr="003E7106" w:rsidTr="00C10288">
        <w:trPr>
          <w:cantSplit/>
        </w:trPr>
        <w:tc>
          <w:tcPr>
            <w:tcW w:w="2268" w:type="dxa"/>
            <w:tcBorders>
              <w:top w:val="nil"/>
              <w:left w:val="nil"/>
              <w:bottom w:val="nil"/>
              <w:right w:val="nil"/>
            </w:tcBorders>
            <w:shd w:val="clear" w:color="auto" w:fill="B8CCE4" w:themeFill="accent1" w:themeFillTint="66"/>
          </w:tcPr>
          <w:p w:rsidR="00C10288" w:rsidRPr="003E7106" w:rsidRDefault="00C10288" w:rsidP="00FD2E53">
            <w:pPr>
              <w:pStyle w:val="Heading3"/>
            </w:pPr>
            <w:r w:rsidRPr="003E7106">
              <w:t>The high cost of hospital and residential care</w:t>
            </w:r>
          </w:p>
        </w:tc>
        <w:tc>
          <w:tcPr>
            <w:tcW w:w="12333" w:type="dxa"/>
            <w:tcBorders>
              <w:top w:val="nil"/>
              <w:left w:val="nil"/>
              <w:bottom w:val="nil"/>
              <w:right w:val="nil"/>
            </w:tcBorders>
            <w:shd w:val="clear" w:color="auto" w:fill="auto"/>
          </w:tcPr>
          <w:p w:rsidR="00C10288" w:rsidRPr="003E7106" w:rsidRDefault="00FD2E53" w:rsidP="00FD2E53">
            <w:pPr>
              <w:pStyle w:val="TableText"/>
            </w:pPr>
            <w:r w:rsidRPr="003E7106">
              <w:t>The generally higher cost of health care delivered in hospital and residential settings, together with increasing demand, has highlighted the importance of fit-for-purpose, sustainable HCSS health care services for people with long-term conditions and age-related illnesses.</w:t>
            </w:r>
          </w:p>
        </w:tc>
      </w:tr>
      <w:tr w:rsidR="00FD2E53" w:rsidRPr="003E7106" w:rsidTr="00C10288">
        <w:trPr>
          <w:cantSplit/>
        </w:trPr>
        <w:tc>
          <w:tcPr>
            <w:tcW w:w="2268" w:type="dxa"/>
            <w:tcBorders>
              <w:top w:val="nil"/>
              <w:left w:val="nil"/>
              <w:bottom w:val="nil"/>
              <w:right w:val="nil"/>
            </w:tcBorders>
            <w:shd w:val="clear" w:color="auto" w:fill="B8CCE4" w:themeFill="accent1" w:themeFillTint="66"/>
          </w:tcPr>
          <w:p w:rsidR="00FD2E53" w:rsidRPr="003E7106" w:rsidRDefault="00FD2E53" w:rsidP="00FD2E53">
            <w:pPr>
              <w:pStyle w:val="Heading3"/>
            </w:pPr>
            <w:r w:rsidRPr="003E7106">
              <w:t>Addressing service delivery risks</w:t>
            </w:r>
          </w:p>
        </w:tc>
        <w:tc>
          <w:tcPr>
            <w:tcW w:w="12333" w:type="dxa"/>
            <w:tcBorders>
              <w:top w:val="nil"/>
              <w:left w:val="nil"/>
              <w:bottom w:val="nil"/>
              <w:right w:val="nil"/>
            </w:tcBorders>
            <w:shd w:val="clear" w:color="auto" w:fill="auto"/>
          </w:tcPr>
          <w:p w:rsidR="00FD2E53" w:rsidRPr="003E7106" w:rsidRDefault="00FD2E53" w:rsidP="00FD2E53">
            <w:pPr>
              <w:pStyle w:val="TableText"/>
            </w:pPr>
            <w:r w:rsidRPr="003E7106">
              <w:t>Safe and high-quality home and community support services are achievable if the sector is funded at a level that reflects the actual costs of delivering home and community support services, and attention is paid to putting in place efficient infrastructure to support the delivery of high-quality services. This means the introduction of a sustainable funding model, a national contracting arrangement across the DHBs for the funding of services to older people, and a national pricing model (which spans DSS and ACC, though it may result in a different price). Future models of service delivery will need to respond efficiently to meet a range of client outcomes, including the growing demand for complex care.</w:t>
            </w:r>
          </w:p>
        </w:tc>
      </w:tr>
      <w:tr w:rsidR="00FD2E53" w:rsidRPr="003E7106" w:rsidTr="00C10288">
        <w:trPr>
          <w:cantSplit/>
        </w:trPr>
        <w:tc>
          <w:tcPr>
            <w:tcW w:w="2268" w:type="dxa"/>
            <w:tcBorders>
              <w:top w:val="nil"/>
              <w:left w:val="nil"/>
              <w:bottom w:val="nil"/>
              <w:right w:val="nil"/>
            </w:tcBorders>
            <w:shd w:val="clear" w:color="auto" w:fill="B8CCE4" w:themeFill="accent1" w:themeFillTint="66"/>
          </w:tcPr>
          <w:p w:rsidR="00FD2E53" w:rsidRPr="003E7106" w:rsidRDefault="00FD2E53" w:rsidP="00FD2E53">
            <w:pPr>
              <w:pStyle w:val="Heading3"/>
            </w:pPr>
            <w:r w:rsidRPr="003E7106">
              <w:t>The need for regularisation</w:t>
            </w:r>
          </w:p>
        </w:tc>
        <w:tc>
          <w:tcPr>
            <w:tcW w:w="12333" w:type="dxa"/>
            <w:tcBorders>
              <w:top w:val="nil"/>
              <w:left w:val="nil"/>
              <w:bottom w:val="nil"/>
              <w:right w:val="nil"/>
            </w:tcBorders>
            <w:shd w:val="clear" w:color="auto" w:fill="auto"/>
          </w:tcPr>
          <w:p w:rsidR="00FD2E53" w:rsidRPr="003E7106" w:rsidRDefault="00FD2E53" w:rsidP="00FD2E53">
            <w:pPr>
              <w:pStyle w:val="TableText"/>
            </w:pPr>
            <w:r w:rsidRPr="003E7106">
              <w:t xml:space="preserve">To be sustainable the sector needs to develop and retain a workforce that is capable of delivering care to more clients, and to more clients with complex care needs. The Ministry of Health </w:t>
            </w:r>
            <w:r w:rsidRPr="003E7106">
              <w:rPr>
                <w:i/>
              </w:rPr>
              <w:t>2014 Briefing to the Incoming Minister</w:t>
            </w:r>
            <w:r w:rsidRPr="003E7106">
              <w:t xml:space="preserve"> identified the need to build and support this workforce. The Ministry noted that:</w:t>
            </w:r>
          </w:p>
          <w:p w:rsidR="00FD2E53" w:rsidRPr="003E7106" w:rsidRDefault="00FD2E53" w:rsidP="00FD2E53">
            <w:pPr>
              <w:pStyle w:val="Quote"/>
            </w:pPr>
            <w:r w:rsidRPr="003E7106">
              <w:t>“In particular, an ageing population with increasingly complex needs will require more and better-trained home-based and residential carers to support older people with long-term conditions, either living in their own homes or in residential care.</w:t>
            </w:r>
          </w:p>
          <w:p w:rsidR="00FD2E53" w:rsidRPr="003E7106" w:rsidRDefault="00FD2E53" w:rsidP="00FD2E53">
            <w:pPr>
              <w:pStyle w:val="Quote"/>
            </w:pPr>
            <w:r w:rsidRPr="003E7106">
              <w:t>Good home-based care reduces demand for aged residential care and can be lower cost, depending on the level of support required.</w:t>
            </w:r>
          </w:p>
          <w:p w:rsidR="00FD2E53" w:rsidRPr="003E7106" w:rsidRDefault="00FD2E53" w:rsidP="00FD2E53">
            <w:pPr>
              <w:pStyle w:val="Quote"/>
            </w:pPr>
            <w:r w:rsidRPr="003E7106">
              <w:t>Implementing new ways of working requires the ability to influence key decision-making across that whole system and an explicit ability to incentivise the shift. It requires an integrated approach to align the different moving parts, such as workforce, models of care, information systems, clinical and corporate governance arrangements, regulatory and funding settings” (p.2).</w:t>
            </w:r>
          </w:p>
          <w:p w:rsidR="00FD2E53" w:rsidRPr="003E7106" w:rsidRDefault="00FD2E53" w:rsidP="00FD2E53">
            <w:pPr>
              <w:pStyle w:val="TableText"/>
            </w:pPr>
            <w:r w:rsidRPr="003E7106">
              <w:t>The parties to the In-between Travel Settlement Agreement agreed that (clause 1.4):</w:t>
            </w:r>
          </w:p>
          <w:p w:rsidR="00FD2E53" w:rsidRPr="003E7106" w:rsidRDefault="00FD2E53" w:rsidP="00FD2E53">
            <w:pPr>
              <w:pStyle w:val="Quote"/>
            </w:pPr>
            <w:r w:rsidRPr="003E7106">
              <w:t>A regularised employment model is expected to be beneficial for all parties involved and will ensure continued viability of HCSS as a cost effective alternative to residential care. Regularisation of the HCSS workforce will allow the majority of home care workers to be paid wages based on a regular employment model. This model will help ensure that there are no reductions to client hours as a result of travel time.</w:t>
            </w:r>
          </w:p>
        </w:tc>
      </w:tr>
      <w:tr w:rsidR="00AE2835" w:rsidRPr="003E7106" w:rsidTr="00C10288">
        <w:trPr>
          <w:cantSplit/>
        </w:trPr>
        <w:tc>
          <w:tcPr>
            <w:tcW w:w="2268" w:type="dxa"/>
            <w:tcBorders>
              <w:top w:val="nil"/>
              <w:left w:val="nil"/>
              <w:bottom w:val="nil"/>
              <w:right w:val="nil"/>
            </w:tcBorders>
            <w:shd w:val="clear" w:color="auto" w:fill="B8CCE4" w:themeFill="accent1" w:themeFillTint="66"/>
          </w:tcPr>
          <w:p w:rsidR="00AE2835" w:rsidRPr="003E7106" w:rsidRDefault="00FD2E53" w:rsidP="00FD2E53">
            <w:pPr>
              <w:pStyle w:val="Heading3"/>
              <w:rPr>
                <w:b w:val="0"/>
                <w:i/>
              </w:rPr>
            </w:pPr>
            <w:r w:rsidRPr="003E7106">
              <w:t>The need for regularisation</w:t>
            </w:r>
            <w:r w:rsidRPr="003E7106">
              <w:rPr>
                <w:b w:val="0"/>
              </w:rPr>
              <w:t xml:space="preserve"> (continued)</w:t>
            </w:r>
          </w:p>
        </w:tc>
        <w:tc>
          <w:tcPr>
            <w:tcW w:w="12333" w:type="dxa"/>
            <w:tcBorders>
              <w:top w:val="nil"/>
              <w:left w:val="nil"/>
              <w:bottom w:val="nil"/>
              <w:right w:val="nil"/>
            </w:tcBorders>
            <w:shd w:val="clear" w:color="auto" w:fill="auto"/>
          </w:tcPr>
          <w:p w:rsidR="00FD2E53" w:rsidRPr="003E7106" w:rsidRDefault="00FD2E53" w:rsidP="00FD2E53">
            <w:pPr>
              <w:pStyle w:val="TableText"/>
            </w:pPr>
            <w:r w:rsidRPr="003E7106">
              <w:t xml:space="preserve">The 2015 BERL report </w:t>
            </w:r>
            <w:r w:rsidRPr="003E7106">
              <w:rPr>
                <w:i/>
              </w:rPr>
              <w:t>Improving the Productivity of Home and Community Support Services</w:t>
            </w:r>
            <w:r w:rsidRPr="003E7106">
              <w:t>, prepared for the Aged Care Industry Training Organisation (ITO) Careerforce, notes that:</w:t>
            </w:r>
          </w:p>
          <w:p w:rsidR="00FD2E53" w:rsidRPr="003E7106" w:rsidRDefault="00FD2E53" w:rsidP="00FD2E53">
            <w:pPr>
              <w:pStyle w:val="Quote"/>
            </w:pPr>
            <w:r w:rsidRPr="003E7106">
              <w:t>“The workforce is not engaged for regular hours of work, with the burden of training in many instances being placed on the worker. The work lacks status, with many on close to the minimum hourly rate and little exposition of any career path or opportunities to progress in the sector.</w:t>
            </w:r>
          </w:p>
          <w:p w:rsidR="00FD2E53" w:rsidRPr="003E7106" w:rsidRDefault="00FD2E53" w:rsidP="00FD2E53">
            <w:pPr>
              <w:pStyle w:val="Quote"/>
            </w:pPr>
            <w:r w:rsidRPr="003E7106">
              <w:t>Better work conditions, terms and status, including regular hours, will help improve staff retention and therefore reduce recruitment costs. Any long-term improvements in the quality and continuity of care spells wider savings for the health and community care budget by keeping people out of hospital beds or residential care settings for longer. However, these savings will only occur if the home and community support workforce is appropriately trained and qualified to meet the increasingly diverse needs of clients.</w:t>
            </w:r>
          </w:p>
          <w:p w:rsidR="00AE2835" w:rsidRPr="003E7106" w:rsidRDefault="00FD2E53" w:rsidP="00FD2E53">
            <w:pPr>
              <w:pStyle w:val="Quote"/>
            </w:pPr>
            <w:r w:rsidRPr="003E7106">
              <w:t>Without properly functioning home and community support services, additional costs will fall on other components of the health system (or on other community support agencies). In essence, spending even more money on hospitalisation and residential care instead is the alternative” (p. 2)</w:t>
            </w:r>
          </w:p>
        </w:tc>
      </w:tr>
      <w:tr w:rsidR="00FD2E53" w:rsidRPr="003E7106" w:rsidTr="00C10288">
        <w:trPr>
          <w:cantSplit/>
        </w:trPr>
        <w:tc>
          <w:tcPr>
            <w:tcW w:w="2268" w:type="dxa"/>
            <w:tcBorders>
              <w:top w:val="nil"/>
              <w:left w:val="nil"/>
              <w:bottom w:val="nil"/>
              <w:right w:val="nil"/>
            </w:tcBorders>
            <w:shd w:val="clear" w:color="auto" w:fill="B8CCE4" w:themeFill="accent1" w:themeFillTint="66"/>
          </w:tcPr>
          <w:p w:rsidR="00FD2E53" w:rsidRPr="003E7106" w:rsidRDefault="00FD2E53" w:rsidP="00FD2E53">
            <w:pPr>
              <w:pStyle w:val="Heading3"/>
            </w:pPr>
            <w:r w:rsidRPr="003E7106">
              <w:t>Implications for clients</w:t>
            </w:r>
          </w:p>
        </w:tc>
        <w:tc>
          <w:tcPr>
            <w:tcW w:w="12333" w:type="dxa"/>
            <w:tcBorders>
              <w:top w:val="nil"/>
              <w:left w:val="nil"/>
              <w:bottom w:val="nil"/>
              <w:right w:val="nil"/>
            </w:tcBorders>
            <w:shd w:val="clear" w:color="auto" w:fill="auto"/>
          </w:tcPr>
          <w:p w:rsidR="00FD2E53" w:rsidRPr="003E7106" w:rsidRDefault="00FD2E53" w:rsidP="00FD2E53">
            <w:pPr>
              <w:pStyle w:val="TableText"/>
            </w:pPr>
            <w:r w:rsidRPr="003E7106">
              <w:t>Several principles need to underpin service delivery, regardless of the funder. The workforce must be trained to deliver safe and competent care that recognises the cultural needs of the individual and whānau/family, bearing in mind that this is not a ‘one size fits all’ model of care. This also applies to any substitute worker who steps in when a regular worker is away. That person should be briefed on the needs of the client so that the client is not required to update the Support Worker on the content of their care plan at the beginning of a visit.</w:t>
            </w:r>
          </w:p>
          <w:p w:rsidR="00FD2E53" w:rsidRPr="003E7106" w:rsidRDefault="00FD2E53" w:rsidP="00FD2E53">
            <w:pPr>
              <w:pStyle w:val="TableText"/>
            </w:pPr>
            <w:r w:rsidRPr="003E7106">
              <w:t>Support Workers need to be reliable, responsible and respectful. They need to protect a client’s right to privacy and recognise the consequences for the client of any failure to keep an appointment or to arrive late. Providers are encouraged to coordinate the transport arrangements of a disabled client who wants to travel to work; for example, at the appropriate time and not two or three hours later.</w:t>
            </w:r>
          </w:p>
          <w:p w:rsidR="00FD2E53" w:rsidRPr="003E7106" w:rsidRDefault="00FD2E53" w:rsidP="00FD2E53">
            <w:pPr>
              <w:pStyle w:val="TableText"/>
            </w:pPr>
            <w:r w:rsidRPr="003E7106">
              <w:t>This puts pressure on providers to meet the needs of clients at busy times of the day, such as between 7 and 9 a.m. It means that providers must prioritise service delivery when insufficient numbers of staff are available to meet demand. Not all clients will be able to have personal care services delivered at a preferred time at these times of the day (although services critical to a client’s health would be a matter of priority).</w:t>
            </w:r>
          </w:p>
          <w:p w:rsidR="00FD2E53" w:rsidRPr="003E7106" w:rsidRDefault="00FD2E53" w:rsidP="00FD2E53">
            <w:pPr>
              <w:pStyle w:val="TableText"/>
            </w:pPr>
            <w:r w:rsidRPr="003E7106">
              <w:t>Providers are also responsible for providing each client with a seamless ‘invisible’ service even if a regular Support Worker is unavailable. Clients do not want to be involved in rostering or rescheduling rearrangements resulting from Support Worker availability. They want care to be delivered at the agreed time to a high standard by a competent Support Worker. Some degree of flexibility is required on the part of providers delivering a client-centred service that allows clients to have varied routines and take part in community activities.</w:t>
            </w:r>
          </w:p>
        </w:tc>
      </w:tr>
    </w:tbl>
    <w:p w:rsidR="00AE2835" w:rsidRPr="003E7106" w:rsidRDefault="00AE2835" w:rsidP="00FD2E53"/>
    <w:p w:rsidR="00FD2E53" w:rsidRPr="003E7106" w:rsidRDefault="00FD2E53" w:rsidP="00FD2E53">
      <w:bookmarkStart w:id="36" w:name="_Toc423677676"/>
      <w:r w:rsidRPr="003E7106">
        <w:br w:type="page"/>
      </w:r>
    </w:p>
    <w:p w:rsidR="00FD2E53" w:rsidRPr="003E7106" w:rsidRDefault="00FD2E53" w:rsidP="00FD2E53">
      <w:pPr>
        <w:pStyle w:val="Heading1"/>
      </w:pPr>
      <w:bookmarkStart w:id="37" w:name="_Toc426009392"/>
      <w:r w:rsidRPr="003E7106">
        <w:t>The home and community support workforce</w:t>
      </w:r>
      <w:bookmarkEnd w:id="36"/>
      <w:bookmarkEnd w:id="37"/>
    </w:p>
    <w:tbl>
      <w:tblPr>
        <w:tblW w:w="0" w:type="auto"/>
        <w:tblInd w:w="142" w:type="dxa"/>
        <w:tblLayout w:type="fixed"/>
        <w:tblLook w:val="04A0" w:firstRow="1" w:lastRow="0" w:firstColumn="1" w:lastColumn="0" w:noHBand="0" w:noVBand="1"/>
      </w:tblPr>
      <w:tblGrid>
        <w:gridCol w:w="2234"/>
        <w:gridCol w:w="12333"/>
      </w:tblGrid>
      <w:tr w:rsidR="00FD2E53" w:rsidRPr="003E7106" w:rsidTr="00FD2E53">
        <w:trPr>
          <w:cantSplit/>
          <w:tblHeader/>
        </w:trPr>
        <w:tc>
          <w:tcPr>
            <w:tcW w:w="2234" w:type="dxa"/>
            <w:shd w:val="clear" w:color="auto" w:fill="1F497D" w:themeFill="text2"/>
          </w:tcPr>
          <w:p w:rsidR="00AE2835" w:rsidRPr="003E7106" w:rsidRDefault="00AE2835" w:rsidP="00FD2E53">
            <w:pPr>
              <w:pStyle w:val="TableText"/>
              <w:rPr>
                <w:b/>
                <w:color w:val="FFFFFF" w:themeColor="background1"/>
              </w:rPr>
            </w:pPr>
            <w:r w:rsidRPr="003E7106">
              <w:rPr>
                <w:b/>
                <w:color w:val="FFFFFF" w:themeColor="background1"/>
              </w:rPr>
              <w:t>Area</w:t>
            </w:r>
          </w:p>
        </w:tc>
        <w:tc>
          <w:tcPr>
            <w:tcW w:w="12333" w:type="dxa"/>
            <w:shd w:val="clear" w:color="auto" w:fill="1F497D" w:themeFill="text2"/>
          </w:tcPr>
          <w:p w:rsidR="00AE2835" w:rsidRPr="003E7106" w:rsidRDefault="00AE2835" w:rsidP="00FD2E53">
            <w:pPr>
              <w:pStyle w:val="TableText"/>
              <w:rPr>
                <w:b/>
                <w:color w:val="FFFFFF" w:themeColor="background1"/>
              </w:rPr>
            </w:pPr>
            <w:r w:rsidRPr="003E7106">
              <w:rPr>
                <w:b/>
                <w:color w:val="FFFFFF" w:themeColor="background1"/>
              </w:rPr>
              <w:t>Key observations</w:t>
            </w:r>
          </w:p>
        </w:tc>
      </w:tr>
      <w:tr w:rsidR="00AE2835" w:rsidRPr="003E7106" w:rsidTr="00FD2E53">
        <w:trPr>
          <w:cantSplit/>
        </w:trPr>
        <w:tc>
          <w:tcPr>
            <w:tcW w:w="2234" w:type="dxa"/>
            <w:shd w:val="clear" w:color="auto" w:fill="B8CCE4" w:themeFill="accent1" w:themeFillTint="66"/>
          </w:tcPr>
          <w:p w:rsidR="00AE2835" w:rsidRPr="003E7106" w:rsidRDefault="00AE2835" w:rsidP="00FD2E53">
            <w:pPr>
              <w:pStyle w:val="Heading2"/>
            </w:pPr>
            <w:bookmarkStart w:id="38" w:name="_Toc423677677"/>
            <w:bookmarkStart w:id="39" w:name="_Toc426009393"/>
            <w:r w:rsidRPr="003E7106">
              <w:t>Future workforce</w:t>
            </w:r>
            <w:bookmarkEnd w:id="38"/>
            <w:bookmarkEnd w:id="39"/>
          </w:p>
        </w:tc>
        <w:tc>
          <w:tcPr>
            <w:tcW w:w="12333" w:type="dxa"/>
            <w:shd w:val="clear" w:color="auto" w:fill="auto"/>
          </w:tcPr>
          <w:p w:rsidR="0082259D" w:rsidRPr="003E7106" w:rsidRDefault="00AE2835" w:rsidP="00FD2E53">
            <w:pPr>
              <w:pStyle w:val="TableText"/>
            </w:pPr>
            <w:r w:rsidRPr="003E7106">
              <w:t>Treasury</w:t>
            </w:r>
            <w:r w:rsidR="0082259D" w:rsidRPr="003E7106">
              <w:t>’</w:t>
            </w:r>
            <w:r w:rsidRPr="003E7106">
              <w:t xml:space="preserve">s </w:t>
            </w:r>
            <w:r w:rsidRPr="003E7106">
              <w:rPr>
                <w:i/>
              </w:rPr>
              <w:t>2014 Briefing to the Incoming Minister</w:t>
            </w:r>
            <w:r w:rsidRPr="003E7106">
              <w:t xml:space="preserve"> pointed out that the success of a shift towards home-based care depends on the workforce that delivers it. In relation to the home and community care workforce, Treasury said that:</w:t>
            </w:r>
          </w:p>
          <w:p w:rsidR="00AE2835" w:rsidRPr="003E7106" w:rsidRDefault="00AE2835" w:rsidP="00FD2E53">
            <w:pPr>
              <w:pStyle w:val="Quote"/>
            </w:pPr>
            <w:r w:rsidRPr="003E7106">
              <w:t>We need to look more closely at the role of the care and support workforce in the aged care and disability support sectors. This workforce is important to the health sector</w:t>
            </w:r>
            <w:r w:rsidR="0082259D" w:rsidRPr="003E7106">
              <w:t>’</w:t>
            </w:r>
            <w:r w:rsidRPr="003E7106">
              <w:t>s capability to respond to the ageing population and the increasing prevalence of chronic disease. It is important to the wider workforce because it allows other health workers such as nurses to concentrate on tasks that make better use of their training. A well-functioning, appropriately trained care and support workforce enables people with more complex health needs to be cared for in their home for longer and facilitates earlier discharge from hospital, freeing up hospital beds with a positive impact on patient flows and efficiency</w:t>
            </w:r>
            <w:r w:rsidRPr="003E7106">
              <w:rPr>
                <w:i/>
              </w:rPr>
              <w:t>.</w:t>
            </w:r>
          </w:p>
        </w:tc>
      </w:tr>
      <w:tr w:rsidR="00AE2835" w:rsidRPr="003E7106" w:rsidTr="00FD2E53">
        <w:trPr>
          <w:cantSplit/>
        </w:trPr>
        <w:tc>
          <w:tcPr>
            <w:tcW w:w="2234" w:type="dxa"/>
            <w:shd w:val="clear" w:color="auto" w:fill="B8CCE4" w:themeFill="accent1" w:themeFillTint="66"/>
          </w:tcPr>
          <w:p w:rsidR="00AE2835" w:rsidRPr="003E7106" w:rsidRDefault="00AE2835" w:rsidP="00FD2E53">
            <w:pPr>
              <w:pStyle w:val="Heading2"/>
            </w:pPr>
            <w:bookmarkStart w:id="40" w:name="_Toc423677678"/>
            <w:bookmarkStart w:id="41" w:name="_Toc426009394"/>
            <w:r w:rsidRPr="003E7106">
              <w:t>Long-term vision for the Support Worker workforce</w:t>
            </w:r>
            <w:bookmarkEnd w:id="40"/>
            <w:bookmarkEnd w:id="41"/>
          </w:p>
        </w:tc>
        <w:tc>
          <w:tcPr>
            <w:tcW w:w="12333" w:type="dxa"/>
            <w:shd w:val="clear" w:color="auto" w:fill="auto"/>
          </w:tcPr>
          <w:p w:rsidR="00AE2835" w:rsidRPr="003E7106" w:rsidRDefault="00AE2835" w:rsidP="00FD2E53">
            <w:pPr>
              <w:pStyle w:val="TableText"/>
            </w:pPr>
            <w:r w:rsidRPr="003E7106">
              <w:t>A long-term vision for the Support Worker workforce is that:</w:t>
            </w:r>
          </w:p>
          <w:p w:rsidR="00AE2835" w:rsidRPr="003E7106" w:rsidRDefault="00FD2E53" w:rsidP="00FD2E53">
            <w:pPr>
              <w:pStyle w:val="TableText"/>
              <w:spacing w:before="0"/>
              <w:ind w:left="425" w:hanging="425"/>
            </w:pPr>
            <w:r w:rsidRPr="003E7106">
              <w:t>(i)</w:t>
            </w:r>
            <w:r w:rsidRPr="003E7106">
              <w:tab/>
            </w:r>
            <w:r w:rsidR="00AE2835" w:rsidRPr="003E7106">
              <w:t>levels of turnover reduce to align with general workforce trends (generally between 8 and 15%)</w:t>
            </w:r>
          </w:p>
          <w:p w:rsidR="0082259D" w:rsidRPr="003E7106" w:rsidRDefault="00FD2E53" w:rsidP="00FD2E53">
            <w:pPr>
              <w:pStyle w:val="TableText"/>
              <w:spacing w:before="0"/>
              <w:ind w:left="425" w:hanging="425"/>
            </w:pPr>
            <w:r w:rsidRPr="003E7106">
              <w:t>(ii)</w:t>
            </w:r>
            <w:r w:rsidRPr="003E7106">
              <w:tab/>
            </w:r>
            <w:r w:rsidR="00AE2835" w:rsidRPr="003E7106">
              <w:t>Support Workers will be qualified and work as part of a multidisciplinary team</w:t>
            </w:r>
          </w:p>
          <w:p w:rsidR="0082259D" w:rsidRPr="003E7106" w:rsidRDefault="00FD2E53" w:rsidP="00FD2E53">
            <w:pPr>
              <w:pStyle w:val="TableText"/>
              <w:spacing w:before="0"/>
              <w:ind w:left="425" w:hanging="425"/>
            </w:pPr>
            <w:r w:rsidRPr="003E7106">
              <w:t>(iii)</w:t>
            </w:r>
            <w:r w:rsidRPr="003E7106">
              <w:tab/>
            </w:r>
            <w:r w:rsidR="00AE2835" w:rsidRPr="003E7106">
              <w:t>there is a career path for Support Workers</w:t>
            </w:r>
          </w:p>
          <w:p w:rsidR="00AE2835" w:rsidRPr="003E7106" w:rsidRDefault="00FD2E53" w:rsidP="00FD2E53">
            <w:pPr>
              <w:pStyle w:val="TableText"/>
              <w:spacing w:before="0"/>
              <w:ind w:left="425" w:hanging="425"/>
            </w:pPr>
            <w:r w:rsidRPr="003E7106">
              <w:t>(iv)</w:t>
            </w:r>
            <w:r w:rsidRPr="003E7106">
              <w:tab/>
            </w:r>
            <w:r w:rsidR="00AE2835" w:rsidRPr="003E7106">
              <w:t>a wider demographic, including young people, join and remain in the workforce</w:t>
            </w:r>
          </w:p>
          <w:p w:rsidR="00AE2835" w:rsidRPr="003E7106" w:rsidRDefault="00FD2E53" w:rsidP="00FD2E53">
            <w:pPr>
              <w:pStyle w:val="TableText"/>
              <w:spacing w:before="0"/>
              <w:ind w:left="425" w:hanging="425"/>
            </w:pPr>
            <w:r w:rsidRPr="003E7106">
              <w:t>(v)</w:t>
            </w:r>
            <w:r w:rsidRPr="003E7106">
              <w:tab/>
            </w:r>
            <w:r w:rsidR="00AE2835" w:rsidRPr="003E7106">
              <w:t>the scope of practice of experienced staff is extended to meet the demand for increasing acuity of care</w:t>
            </w:r>
          </w:p>
          <w:p w:rsidR="00AE2835" w:rsidRPr="003E7106" w:rsidRDefault="00FD2E53" w:rsidP="00FD2E53">
            <w:pPr>
              <w:pStyle w:val="TableText"/>
              <w:spacing w:before="0"/>
              <w:ind w:left="425" w:hanging="425"/>
            </w:pPr>
            <w:r w:rsidRPr="003E7106">
              <w:t>(vi)</w:t>
            </w:r>
            <w:r w:rsidRPr="003E7106">
              <w:tab/>
            </w:r>
            <w:r w:rsidR="00AE2835" w:rsidRPr="003E7106">
              <w:t>there are appropriate levels of supervision and client assessment to avoid the risks to clients, Support Workers, providers and funders from inadequate service delivery.</w:t>
            </w:r>
          </w:p>
        </w:tc>
      </w:tr>
      <w:tr w:rsidR="00FD2E53" w:rsidRPr="003E7106" w:rsidTr="00FD2E53">
        <w:trPr>
          <w:cantSplit/>
        </w:trPr>
        <w:tc>
          <w:tcPr>
            <w:tcW w:w="2234" w:type="dxa"/>
            <w:shd w:val="clear" w:color="auto" w:fill="B8CCE4" w:themeFill="accent1" w:themeFillTint="66"/>
          </w:tcPr>
          <w:p w:rsidR="00FD2E53" w:rsidRPr="003E7106" w:rsidRDefault="00FD2E53" w:rsidP="00FD2E53">
            <w:pPr>
              <w:pStyle w:val="Heading3"/>
            </w:pPr>
            <w:r w:rsidRPr="003E7106">
              <w:t>Current workforce profile and dynamic</w:t>
            </w:r>
          </w:p>
        </w:tc>
        <w:tc>
          <w:tcPr>
            <w:tcW w:w="12333" w:type="dxa"/>
            <w:shd w:val="clear" w:color="auto" w:fill="auto"/>
          </w:tcPr>
          <w:p w:rsidR="00FD2E53" w:rsidRPr="003E7106" w:rsidRDefault="00FD2E53" w:rsidP="00FD2E53">
            <w:pPr>
              <w:pStyle w:val="TableText"/>
            </w:pPr>
            <w:r w:rsidRPr="003E7106">
              <w:t>The Ministry of Health 2015 HCSS Workforce Survey confirms that, compared with the total New Zealand labour force, the current Support Worker workforce is female dominated (91% are women) and has an older age profile (54% are aged between 45 and 64). The largest identifiable ethnic group is European (28%), followed by Pacific people (11%). Ethnicity was reported as ‘unknown’ for 42% of respondents to the survey. As this cohort ages it is not being replaced by younger workers, who are more likely to seek employment with a guaranteed income and potential career path.</w:t>
            </w:r>
          </w:p>
          <w:p w:rsidR="00FD2E53" w:rsidRPr="003E7106" w:rsidRDefault="00FD2E53" w:rsidP="00FD2E53">
            <w:pPr>
              <w:pStyle w:val="TableText"/>
            </w:pPr>
            <w:r w:rsidRPr="003E7106">
              <w:t>The home and community service sector operates 24/7, with higher client demand at certain times of the day, particularly in the early morning and late afternoon. This variability of demand has driven an employment model that relies heavily on assignment workers (incorrectly treated as casuals) working split shifts, supported by agency temp staff. The Ministry of Health 2015 Workforce Survey shows that most of the estimated 24,000 Support Workers work part-time, at an average of 21 hours per week (based on an analysis of the hours worked by 7877 workers over a four-week period).</w:t>
            </w:r>
          </w:p>
          <w:p w:rsidR="00FD2E53" w:rsidRPr="003E7106" w:rsidRDefault="00FD2E53" w:rsidP="00FD2E53">
            <w:pPr>
              <w:pStyle w:val="TableText"/>
            </w:pPr>
            <w:r w:rsidRPr="003E7106">
              <w:rPr>
                <w:rFonts w:cs="Arial"/>
              </w:rPr>
              <w:t>The Deloitte Report found that providers were finding it difficult to recruit and retain staff because of an improving economy and perceived superior opportunities elsewhere.</w:t>
            </w:r>
            <w:r w:rsidRPr="003E7106">
              <w:rPr>
                <w:rStyle w:val="FootnoteReference"/>
              </w:rPr>
              <w:footnoteReference w:id="4"/>
            </w:r>
            <w:r w:rsidRPr="003E7106">
              <w:rPr>
                <w:rFonts w:cs="Arial"/>
              </w:rPr>
              <w:t xml:space="preserve"> Historically, high turnover leads to a </w:t>
            </w:r>
            <w:r w:rsidRPr="003E7106">
              <w:t xml:space="preserve">loss of investment in Support Worker training on the part of providers, who find it difficult to recruit trained Support Workers. The work lacks status, and there are few opportunities for career development or progress for Support Workers within the sector. </w:t>
            </w:r>
            <w:r w:rsidRPr="003E7106">
              <w:rPr>
                <w:rFonts w:cs="Arial"/>
              </w:rPr>
              <w:t>Some clients and the condition of their homes can create a challenging working environment for Support Workers.</w:t>
            </w:r>
          </w:p>
        </w:tc>
      </w:tr>
      <w:tr w:rsidR="00AE2835" w:rsidRPr="003E7106" w:rsidTr="00FD2E53">
        <w:trPr>
          <w:cantSplit/>
        </w:trPr>
        <w:tc>
          <w:tcPr>
            <w:tcW w:w="2234" w:type="dxa"/>
            <w:shd w:val="clear" w:color="auto" w:fill="B8CCE4" w:themeFill="accent1" w:themeFillTint="66"/>
          </w:tcPr>
          <w:p w:rsidR="00AE2835" w:rsidRPr="003E7106" w:rsidRDefault="00AE2835" w:rsidP="00FD2E53">
            <w:pPr>
              <w:pStyle w:val="Heading3"/>
            </w:pPr>
            <w:bookmarkStart w:id="42" w:name="_Toc423677679"/>
            <w:r w:rsidRPr="003E7106">
              <w:t>Current workforce profile and dynamic</w:t>
            </w:r>
            <w:bookmarkEnd w:id="42"/>
            <w:r w:rsidR="00FD2E53" w:rsidRPr="003E7106">
              <w:rPr>
                <w:b w:val="0"/>
              </w:rPr>
              <w:t xml:space="preserve"> (continued)</w:t>
            </w:r>
          </w:p>
        </w:tc>
        <w:tc>
          <w:tcPr>
            <w:tcW w:w="12333" w:type="dxa"/>
            <w:shd w:val="clear" w:color="auto" w:fill="auto"/>
          </w:tcPr>
          <w:p w:rsidR="00AE2835" w:rsidRPr="003E7106" w:rsidRDefault="00AE2835" w:rsidP="00FD2E53">
            <w:pPr>
              <w:pStyle w:val="TableText"/>
              <w:rPr>
                <w:rFonts w:cs="Arial"/>
              </w:rPr>
            </w:pPr>
            <w:r w:rsidRPr="003E7106">
              <w:rPr>
                <w:rFonts w:cs="Arial"/>
              </w:rPr>
              <w:t>As a consequence, many Support Workers are drawn away by other job opportunities that offer higher wages in less demanding conditions.</w:t>
            </w:r>
            <w:r w:rsidRPr="003E7106">
              <w:rPr>
                <w:rStyle w:val="FootnoteReference"/>
              </w:rPr>
              <w:footnoteReference w:id="5"/>
            </w:r>
            <w:r w:rsidRPr="003E7106">
              <w:rPr>
                <w:rFonts w:cs="Arial"/>
              </w:rPr>
              <w:t xml:space="preserve"> Some Support Workers move in and out of home and community support services and hold down more than one job to make ends meet. A high degree of knowledge and skill is often acquired by Support Workers who remain in the sector, and this is lost when they leave for better-paid work.</w:t>
            </w:r>
            <w:r w:rsidRPr="003E7106">
              <w:rPr>
                <w:rStyle w:val="FootnoteReference"/>
              </w:rPr>
              <w:footnoteReference w:id="6"/>
            </w:r>
          </w:p>
          <w:p w:rsidR="0082259D" w:rsidRPr="003E7106" w:rsidRDefault="00AE2835" w:rsidP="00FD2E53">
            <w:pPr>
              <w:pStyle w:val="TableText"/>
            </w:pPr>
            <w:r w:rsidRPr="003E7106">
              <w:rPr>
                <w:rFonts w:cs="Arial"/>
              </w:rPr>
              <w:t>The employment model is based on the assigned client</w:t>
            </w:r>
            <w:r w:rsidR="0082259D" w:rsidRPr="003E7106">
              <w:rPr>
                <w:rFonts w:cs="Arial"/>
              </w:rPr>
              <w:t>’</w:t>
            </w:r>
            <w:r w:rsidRPr="003E7106">
              <w:rPr>
                <w:rFonts w:cs="Arial"/>
              </w:rPr>
              <w:t xml:space="preserve">s needs, which may be ongoing or short term. </w:t>
            </w:r>
            <w:r w:rsidRPr="003E7106">
              <w:t>In the course of a day the same Support Worker might provide services to clients who are funded from one or more of three funding streams (the Ministry of Health for people with disabilities, DHBs for people over 65 years of age, and ACC for people with injuries).</w:t>
            </w:r>
          </w:p>
          <w:p w:rsidR="00AE2835" w:rsidRPr="003E7106" w:rsidRDefault="00AE2835" w:rsidP="00FD2E53">
            <w:pPr>
              <w:pStyle w:val="TableText"/>
              <w:rPr>
                <w:rFonts w:cs="Arial"/>
              </w:rPr>
            </w:pPr>
            <w:r w:rsidRPr="003E7106">
              <w:t>Support Workers work independently in vulnerable people</w:t>
            </w:r>
            <w:r w:rsidR="0082259D" w:rsidRPr="003E7106">
              <w:t>’</w:t>
            </w:r>
            <w:r w:rsidRPr="003E7106">
              <w:t>s homes with very little supervision or oversight. Provider representatives report that the sector is not funded to put in place suitable performance management and supervisory systems to support and check on Support Workers operating in these conditions. They also advise that they are not compensated to meet increasing compliance costs when, for example, new legislation imposes requirements on funders and providers relating to the health and safety of their workforces.</w:t>
            </w:r>
          </w:p>
          <w:p w:rsidR="0082259D" w:rsidRPr="003E7106" w:rsidRDefault="00AE2835" w:rsidP="00FD2E53">
            <w:pPr>
              <w:pStyle w:val="TableText"/>
            </w:pPr>
            <w:r w:rsidRPr="003E7106">
              <w:t>Funding and wages are linked to service provision, and a worker</w:t>
            </w:r>
            <w:r w:rsidR="0082259D" w:rsidRPr="003E7106">
              <w:t>’</w:t>
            </w:r>
            <w:r w:rsidRPr="003E7106">
              <w:t>s income is likely to be lower in any week when a regular client does not require the service (eg, because the client is away or in hospital) and the employer is unable to set up an alternative client visit to make up the shortfall. This also results in the worker using annual leave entitlements to make up their wage, leaving little for adequate rest and recreation. Providers report frustration that current funding arrangements limit their opportunities to provide additional workforce support through regular team meetings, ongoing access to supervision, and mentoring/buddy arrangements for inexperienced staff.</w:t>
            </w:r>
          </w:p>
          <w:p w:rsidR="00AE2835" w:rsidRPr="003E7106" w:rsidRDefault="00AE2835" w:rsidP="00FD2E53">
            <w:pPr>
              <w:pStyle w:val="TableText"/>
            </w:pPr>
            <w:r w:rsidRPr="003E7106">
              <w:t>The Ministry of Health 2015 Workforce Survey shows that the HCSS workforce:</w:t>
            </w:r>
          </w:p>
          <w:p w:rsidR="0082259D" w:rsidRPr="003E7106" w:rsidRDefault="00FD2E53" w:rsidP="00FD2E53">
            <w:pPr>
              <w:pStyle w:val="TableText"/>
              <w:spacing w:before="0"/>
              <w:ind w:left="425" w:hanging="425"/>
            </w:pPr>
            <w:r w:rsidRPr="003E7106">
              <w:t>(i)</w:t>
            </w:r>
            <w:r w:rsidRPr="003E7106">
              <w:tab/>
            </w:r>
            <w:r w:rsidR="00AE2835" w:rsidRPr="003E7106">
              <w:t>is becoming more highly qualified but continues to be paid at or close to the Minimum Wage: 46% have a Level 2 or 3 NZQA qualification, of whom 62% are paid under $15 per hour (41% at the current Minimum Wage of $14.75 per hour), and generally there is no specific recognition of qualifications in wages, although some receive an allowance</w:t>
            </w:r>
          </w:p>
          <w:p w:rsidR="0082259D" w:rsidRPr="003E7106" w:rsidRDefault="00FD2E53" w:rsidP="00FD2E53">
            <w:pPr>
              <w:pStyle w:val="TableText"/>
              <w:spacing w:before="0"/>
              <w:ind w:left="425" w:hanging="425"/>
            </w:pPr>
            <w:r w:rsidRPr="003E7106">
              <w:t>(ii)</w:t>
            </w:r>
            <w:r w:rsidRPr="003E7106">
              <w:tab/>
            </w:r>
            <w:r w:rsidR="00AE2835" w:rsidRPr="003E7106">
              <w:t>increasingly works consistent hours but has no guaranteed hours of work on a weekly or annual basis: over a four-week period (9 February to 8</w:t>
            </w:r>
            <w:r w:rsidRPr="003E7106">
              <w:t> </w:t>
            </w:r>
            <w:r w:rsidR="00AE2835" w:rsidRPr="003E7106">
              <w:t>March 2015) 41% of those who worked had consistent hours for two of the four weeks; a further 20% had consistent hours for three of the four weeks; and a further 19% had consistent hours for each of the four weeks.</w:t>
            </w:r>
          </w:p>
          <w:p w:rsidR="00AE2835" w:rsidRPr="003E7106" w:rsidRDefault="00AE2835" w:rsidP="00FD2E53">
            <w:pPr>
              <w:pStyle w:val="TableText"/>
            </w:pPr>
            <w:r w:rsidRPr="003E7106">
              <w:t>Note: the survey did not report on whether there was any consistency in the time of day or days the hours were worked.</w:t>
            </w:r>
          </w:p>
        </w:tc>
      </w:tr>
    </w:tbl>
    <w:p w:rsidR="00FD2E53" w:rsidRPr="003E7106" w:rsidRDefault="00FD2E53"/>
    <w:p w:rsidR="00FD2E53" w:rsidRPr="003E7106" w:rsidRDefault="00FD2E53" w:rsidP="00FD2E53">
      <w:bookmarkStart w:id="43" w:name="_Toc423677680"/>
      <w:r w:rsidRPr="003E7106">
        <w:br w:type="page"/>
      </w:r>
    </w:p>
    <w:p w:rsidR="00FD2E53" w:rsidRPr="003E7106" w:rsidRDefault="00FD2E53" w:rsidP="00FD2E53">
      <w:pPr>
        <w:pStyle w:val="Heading1"/>
      </w:pPr>
      <w:bookmarkStart w:id="44" w:name="_Toc426009395"/>
      <w:r w:rsidRPr="003E7106">
        <w:t>Current funding arrangements</w:t>
      </w:r>
      <w:bookmarkEnd w:id="43"/>
      <w:bookmarkEnd w:id="44"/>
    </w:p>
    <w:tbl>
      <w:tblPr>
        <w:tblW w:w="0" w:type="auto"/>
        <w:tblInd w:w="142" w:type="dxa"/>
        <w:tblLayout w:type="fixed"/>
        <w:tblLook w:val="04A0" w:firstRow="1" w:lastRow="0" w:firstColumn="1" w:lastColumn="0" w:noHBand="0" w:noVBand="1"/>
      </w:tblPr>
      <w:tblGrid>
        <w:gridCol w:w="2234"/>
        <w:gridCol w:w="12333"/>
      </w:tblGrid>
      <w:tr w:rsidR="00FD2E53" w:rsidRPr="003E7106" w:rsidTr="00EE0353">
        <w:trPr>
          <w:cantSplit/>
          <w:tblHeader/>
        </w:trPr>
        <w:tc>
          <w:tcPr>
            <w:tcW w:w="2234" w:type="dxa"/>
            <w:shd w:val="clear" w:color="auto" w:fill="1F497D" w:themeFill="text2"/>
            <w:hideMark/>
          </w:tcPr>
          <w:p w:rsidR="00AE2835" w:rsidRPr="003E7106" w:rsidRDefault="00AE2835" w:rsidP="00FD2E53">
            <w:pPr>
              <w:pStyle w:val="TableText"/>
              <w:rPr>
                <w:b/>
                <w:color w:val="FFFFFF" w:themeColor="background1"/>
              </w:rPr>
            </w:pPr>
            <w:r w:rsidRPr="003E7106">
              <w:rPr>
                <w:b/>
                <w:color w:val="FFFFFF" w:themeColor="background1"/>
              </w:rPr>
              <w:t>Area</w:t>
            </w:r>
          </w:p>
        </w:tc>
        <w:tc>
          <w:tcPr>
            <w:tcW w:w="12333" w:type="dxa"/>
            <w:shd w:val="clear" w:color="auto" w:fill="1F497D" w:themeFill="text2"/>
            <w:hideMark/>
          </w:tcPr>
          <w:p w:rsidR="00AE2835" w:rsidRPr="003E7106" w:rsidRDefault="00AE2835" w:rsidP="00FD2E53">
            <w:pPr>
              <w:pStyle w:val="TableText"/>
              <w:rPr>
                <w:b/>
                <w:color w:val="FFFFFF" w:themeColor="background1"/>
              </w:rPr>
            </w:pPr>
            <w:r w:rsidRPr="003E7106">
              <w:rPr>
                <w:b/>
                <w:color w:val="FFFFFF" w:themeColor="background1"/>
              </w:rPr>
              <w:t>Background information</w:t>
            </w:r>
          </w:p>
        </w:tc>
      </w:tr>
      <w:tr w:rsidR="00AE2835" w:rsidRPr="003E7106" w:rsidTr="00EE0353">
        <w:trPr>
          <w:cantSplit/>
        </w:trPr>
        <w:tc>
          <w:tcPr>
            <w:tcW w:w="2234" w:type="dxa"/>
            <w:shd w:val="clear" w:color="auto" w:fill="B8CCE4" w:themeFill="accent1" w:themeFillTint="66"/>
          </w:tcPr>
          <w:p w:rsidR="00AE2835" w:rsidRPr="003E7106" w:rsidRDefault="00AE2835" w:rsidP="00FD2E53">
            <w:pPr>
              <w:pStyle w:val="Heading2"/>
              <w:rPr>
                <w:bCs/>
              </w:rPr>
            </w:pPr>
            <w:bookmarkStart w:id="45" w:name="_Toc423677681"/>
            <w:bookmarkStart w:id="46" w:name="_Toc426009396"/>
            <w:r w:rsidRPr="003E7106">
              <w:t>Overview</w:t>
            </w:r>
            <w:bookmarkEnd w:id="45"/>
            <w:bookmarkEnd w:id="46"/>
          </w:p>
        </w:tc>
        <w:tc>
          <w:tcPr>
            <w:tcW w:w="12333" w:type="dxa"/>
            <w:shd w:val="clear" w:color="auto" w:fill="auto"/>
          </w:tcPr>
          <w:p w:rsidR="0082259D" w:rsidRPr="003E7106" w:rsidRDefault="00AE2835" w:rsidP="00FD2E53">
            <w:pPr>
              <w:pStyle w:val="TableText"/>
            </w:pPr>
            <w:r w:rsidRPr="003E7106">
              <w:t>DHBs and the Ministry of Health pay a range of prices for the delivery of home-and community-based care. The Ministry pays the same rate ($26.14 per hour plus rural travel) for household support and personal care. The price paid for the delivery of household support (assistance with housework) and personal care varies from DHB to DHB, with the price for household management ranging from $21.26 to $25.99, and personal care rates ranging from $24.21 to $34.06.</w:t>
            </w:r>
          </w:p>
          <w:p w:rsidR="00AE2835" w:rsidRPr="003E7106" w:rsidRDefault="00AE2835" w:rsidP="00FD2E53">
            <w:pPr>
              <w:pStyle w:val="TableText"/>
            </w:pPr>
            <w:r w:rsidRPr="003E7106">
              <w:t xml:space="preserve">Many DHBs have shifted their focus from household support to personal care, in line with a restorative and person-centred approach to home-based care. Fifteen DHBs pay providers on the basis of a </w:t>
            </w:r>
            <w:r w:rsidR="0082259D" w:rsidRPr="003E7106">
              <w:t>‘</w:t>
            </w:r>
            <w:r w:rsidRPr="003E7106">
              <w:t>fee-for-service</w:t>
            </w:r>
            <w:r w:rsidR="0082259D" w:rsidRPr="003E7106">
              <w:t>’</w:t>
            </w:r>
            <w:r w:rsidRPr="003E7106">
              <w:t xml:space="preserve"> model (where a provider is paid for the number of hours it delivers). Five have moved to a bulk-funding model that applies what is referred to as a case/load case/weighted approach.</w:t>
            </w:r>
            <w:r w:rsidR="0082259D" w:rsidRPr="003E7106">
              <w:t xml:space="preserve"> </w:t>
            </w:r>
            <w:r w:rsidRPr="003E7106">
              <w:t>This approach is explained in subsequent paragraphs.</w:t>
            </w:r>
          </w:p>
          <w:p w:rsidR="0082259D" w:rsidRPr="003E7106" w:rsidRDefault="00AE2835" w:rsidP="00FD2E53">
            <w:pPr>
              <w:pStyle w:val="TableText"/>
            </w:pPr>
            <w:r w:rsidRPr="003E7106">
              <w:t>The variation in pricing and funding models reflects strategic decisions made by DHBs.</w:t>
            </w:r>
          </w:p>
          <w:p w:rsidR="00AE2835" w:rsidRPr="003E7106" w:rsidRDefault="00AE2835" w:rsidP="00FD2E53">
            <w:pPr>
              <w:pStyle w:val="TableText"/>
            </w:pPr>
            <w:r w:rsidRPr="003E7106">
              <w:t xml:space="preserve">A provider of HCSS contracted by the Ministry of Health, DHBs and ACC is paid different rates by each funder, yet may send the same worker to deliver care to a disabled client, an older client or an injured client on the same day. Some providers </w:t>
            </w:r>
            <w:r w:rsidR="0082259D" w:rsidRPr="003E7106">
              <w:t>‘</w:t>
            </w:r>
            <w:r w:rsidRPr="003E7106">
              <w:t>cross-subsidise</w:t>
            </w:r>
            <w:r w:rsidR="0082259D" w:rsidRPr="003E7106">
              <w:t>’</w:t>
            </w:r>
            <w:r w:rsidRPr="003E7106">
              <w:t xml:space="preserve"> in order to pay Support Workers the same hourly rate, irrespective of the funder. Others are concerned about the risks attached to this approach and pay different hourly rates depending on the funder.</w:t>
            </w:r>
          </w:p>
          <w:p w:rsidR="00FD2E53" w:rsidRPr="003E7106" w:rsidRDefault="00FD2E53" w:rsidP="00FD2E53">
            <w:pPr>
              <w:pStyle w:val="TableText"/>
            </w:pPr>
            <w:r w:rsidRPr="003E7106">
              <w:t>Historically (and currently) DHB pricing for HCSS has not been based on a fully costed model. DHB funding increases have not kept up with increases in the Minimum Wage and other inflationary pressures. Over the past seven years only three DHBs, ACC and the Ministry of Health have provided increases in the price for HCSS of more than the Minimum Wage.</w:t>
            </w:r>
            <w:r w:rsidRPr="003E7106">
              <w:rPr>
                <w:rStyle w:val="FootnoteReference"/>
              </w:rPr>
              <w:footnoteReference w:id="7"/>
            </w:r>
          </w:p>
        </w:tc>
      </w:tr>
      <w:tr w:rsidR="00FD2E53" w:rsidRPr="003E7106" w:rsidTr="00EE0353">
        <w:trPr>
          <w:cantSplit/>
        </w:trPr>
        <w:tc>
          <w:tcPr>
            <w:tcW w:w="2234" w:type="dxa"/>
            <w:shd w:val="clear" w:color="auto" w:fill="B8CCE4" w:themeFill="accent1" w:themeFillTint="66"/>
          </w:tcPr>
          <w:p w:rsidR="00FD2E53" w:rsidRPr="003E7106" w:rsidRDefault="00FD2E53" w:rsidP="00FD2E53">
            <w:pPr>
              <w:pStyle w:val="Heading2"/>
            </w:pPr>
            <w:bookmarkStart w:id="47" w:name="_Toc426009397"/>
            <w:r w:rsidRPr="003E7106">
              <w:t>Addressing problems with the current pricing model</w:t>
            </w:r>
            <w:bookmarkEnd w:id="47"/>
          </w:p>
        </w:tc>
        <w:tc>
          <w:tcPr>
            <w:tcW w:w="12333" w:type="dxa"/>
            <w:shd w:val="clear" w:color="auto" w:fill="auto"/>
          </w:tcPr>
          <w:p w:rsidR="00FD2E53" w:rsidRPr="003E7106" w:rsidRDefault="00FD2E53" w:rsidP="00FD2E53">
            <w:pPr>
              <w:pStyle w:val="TableText"/>
            </w:pPr>
            <w:r w:rsidRPr="003E7106">
              <w:t>To meet Minimum Wage, Kiwisaver contributions and ACC rates obligations, providers have reduced costs by: reducing coordinator to Support Worker ratios; discontinuing pay increases and performance reviews; delaying investment in capital expenditure and maintenance; and not replacing administrative or infrastructure staff. An accumulation of funding shortfalls over time means that some providers are now operating with negative margins. The general picture is of a sector that is not sustainable at the current levels of funding.</w:t>
            </w:r>
          </w:p>
          <w:p w:rsidR="00FD2E53" w:rsidRPr="003E7106" w:rsidRDefault="00FD2E53" w:rsidP="00FD2E53">
            <w:pPr>
              <w:pStyle w:val="TableText"/>
            </w:pPr>
            <w:r w:rsidRPr="003E7106">
              <w:t>The price/cost model provides an opportunity to objectively illustrate the baseline costs of providing HCSS to older people. Applying actual values, where known, industry averages and the median Support Worker wage ($15 per hour) and a 6% return on investment (margin) indicates that the baseline cost is $27.76 per hour (increasing to $32.50 with the addition of costs for in-between travel payments).</w:t>
            </w:r>
          </w:p>
          <w:p w:rsidR="00FD2E53" w:rsidRPr="003E7106" w:rsidRDefault="00FD2E53" w:rsidP="00FD2E53">
            <w:pPr>
              <w:pStyle w:val="TableText"/>
            </w:pPr>
            <w:r w:rsidRPr="003E7106">
              <w:t>This analysis indicates that additional funding is needed to lift the current price paid for HCSS (between $21.26 and $25.99 for household support and between $24.21 and $34.06 for personal care) to a fully costed model in advance of transitioning to regularisation. Provider representatives have indicated that moving to a fully costed funding model in advance of transitioning to a regularised Support Worker employment model will support a minimum pay rate of $15 per hour per Support Worker.</w:t>
            </w:r>
          </w:p>
          <w:p w:rsidR="00FD2E53" w:rsidRPr="003E7106" w:rsidRDefault="00FD2E53" w:rsidP="00FD2E53">
            <w:pPr>
              <w:pStyle w:val="TableText"/>
            </w:pPr>
            <w:r w:rsidRPr="003E7106">
              <w:t>Further work is required to determine the level of funding needed to move to a fully costed model in advance of regularisation and the implications for funders.</w:t>
            </w:r>
          </w:p>
        </w:tc>
      </w:tr>
      <w:tr w:rsidR="00AE2835" w:rsidRPr="003E7106" w:rsidTr="00EE0353">
        <w:trPr>
          <w:cantSplit/>
        </w:trPr>
        <w:tc>
          <w:tcPr>
            <w:tcW w:w="2234" w:type="dxa"/>
            <w:shd w:val="clear" w:color="auto" w:fill="B8CCE4" w:themeFill="accent1" w:themeFillTint="66"/>
          </w:tcPr>
          <w:p w:rsidR="00AE2835" w:rsidRPr="003E7106" w:rsidRDefault="00AE2835" w:rsidP="00EE0353">
            <w:pPr>
              <w:pStyle w:val="Heading2"/>
              <w:rPr>
                <w:rFonts w:cs="Arial"/>
                <w:color w:val="000000"/>
              </w:rPr>
            </w:pPr>
            <w:bookmarkStart w:id="48" w:name="_Toc426009398"/>
            <w:r w:rsidRPr="003E7106">
              <w:t>Problems with fee-for-service and bulk funding arrangements</w:t>
            </w:r>
            <w:bookmarkEnd w:id="48"/>
          </w:p>
        </w:tc>
        <w:tc>
          <w:tcPr>
            <w:tcW w:w="12333" w:type="dxa"/>
            <w:shd w:val="clear" w:color="auto" w:fill="auto"/>
          </w:tcPr>
          <w:p w:rsidR="00AE2835" w:rsidRPr="003E7106" w:rsidRDefault="00AE2835" w:rsidP="00FD2E53">
            <w:pPr>
              <w:pStyle w:val="TableText"/>
            </w:pPr>
            <w:r w:rsidRPr="003E7106">
              <w:t>Provider representatives report that the fee-for-service funding model is not well aligned to a restorative model of care. Clients</w:t>
            </w:r>
            <w:r w:rsidR="0082259D" w:rsidRPr="003E7106">
              <w:t>’</w:t>
            </w:r>
            <w:r w:rsidRPr="003E7106">
              <w:t xml:space="preserve"> requirements for care are identified in the Needs Assessment and Service Coordination (NASC) assessment and defined as specific support to be provided in specified hours of service delivery. This approach promotes the delivery of services as tasks to be completed within a set number of hours, and there is minimal flexibility to vary either the tasks or the number of hours to reflect a client</w:t>
            </w:r>
            <w:r w:rsidR="0082259D" w:rsidRPr="003E7106">
              <w:t>’</w:t>
            </w:r>
            <w:r w:rsidRPr="003E7106">
              <w:t>s changing needs without a further NASC assessment.</w:t>
            </w:r>
          </w:p>
          <w:p w:rsidR="00AE2835" w:rsidRPr="003E7106" w:rsidRDefault="00AE2835" w:rsidP="00EE0353">
            <w:pPr>
              <w:pStyle w:val="TableText"/>
            </w:pPr>
            <w:r w:rsidRPr="003E7106">
              <w:t xml:space="preserve">Bulk funding can pose a greater risk to providers because funding is independent of volumes. If contractual agreements (ie, expected volumes and volume conditions and pricing increase adjustments) are not negotiated fairly or monitored correctly, providers can be at greater risk than under the </w:t>
            </w:r>
            <w:r w:rsidR="0082259D" w:rsidRPr="003E7106">
              <w:t>‘</w:t>
            </w:r>
            <w:r w:rsidRPr="003E7106">
              <w:t>fee</w:t>
            </w:r>
            <w:r w:rsidR="00EE0353" w:rsidRPr="003E7106">
              <w:noBreakHyphen/>
            </w:r>
            <w:r w:rsidRPr="003E7106">
              <w:t>for-service</w:t>
            </w:r>
            <w:r w:rsidR="0082259D" w:rsidRPr="003E7106">
              <w:t>’</w:t>
            </w:r>
            <w:r w:rsidRPr="003E7106">
              <w:t xml:space="preserve"> model.</w:t>
            </w:r>
            <w:r w:rsidRPr="003E7106">
              <w:rPr>
                <w:rStyle w:val="FootnoteReference"/>
              </w:rPr>
              <w:footnoteReference w:id="8"/>
            </w:r>
          </w:p>
        </w:tc>
      </w:tr>
      <w:tr w:rsidR="00EE0353" w:rsidRPr="003E7106" w:rsidTr="00EE0353">
        <w:trPr>
          <w:cantSplit/>
        </w:trPr>
        <w:tc>
          <w:tcPr>
            <w:tcW w:w="2234" w:type="dxa"/>
            <w:shd w:val="clear" w:color="auto" w:fill="B8CCE4" w:themeFill="accent1" w:themeFillTint="66"/>
          </w:tcPr>
          <w:p w:rsidR="00EE0353" w:rsidRPr="003E7106" w:rsidRDefault="00EE0353" w:rsidP="00EE0353">
            <w:pPr>
              <w:pStyle w:val="Heading3"/>
            </w:pPr>
            <w:r w:rsidRPr="003E7106">
              <w:t>Addressing problems with fee-for-service and bulk funding arrangements (case mix)</w:t>
            </w:r>
          </w:p>
        </w:tc>
        <w:tc>
          <w:tcPr>
            <w:tcW w:w="12333" w:type="dxa"/>
            <w:shd w:val="clear" w:color="auto" w:fill="auto"/>
          </w:tcPr>
          <w:p w:rsidR="00EE0353" w:rsidRPr="003E7106" w:rsidRDefault="00EE0353" w:rsidP="00EE0353">
            <w:pPr>
              <w:pStyle w:val="TableText"/>
            </w:pPr>
            <w:r w:rsidRPr="003E7106">
              <w:t>The funding risks for DHBs and providers are distributed more appropriately under the case-mix model. DHBs become responsible for the impact of their decisions with regard to both service entry and the ‘related services’ that have an impact on home support service levels (volume). DHBs are responsible for:</w:t>
            </w:r>
          </w:p>
          <w:p w:rsidR="00EE0353" w:rsidRPr="003E7106" w:rsidRDefault="00EE0353" w:rsidP="00EE0353">
            <w:pPr>
              <w:pStyle w:val="TableBullet"/>
              <w:ind w:left="284"/>
            </w:pPr>
            <w:r w:rsidRPr="003E7106">
              <w:t>the total volume of clients serviced (volume)</w:t>
            </w:r>
          </w:p>
          <w:p w:rsidR="00EE0353" w:rsidRPr="003E7106" w:rsidRDefault="00EE0353" w:rsidP="00EE0353">
            <w:pPr>
              <w:pStyle w:val="TableBullet"/>
              <w:ind w:left="284"/>
            </w:pPr>
            <w:r w:rsidRPr="003E7106">
              <w:t>variations in the case mix of the client population (change in mix of client population complexity)</w:t>
            </w:r>
          </w:p>
          <w:p w:rsidR="00EE0353" w:rsidRPr="003E7106" w:rsidRDefault="00EE0353" w:rsidP="00EE0353">
            <w:pPr>
              <w:pStyle w:val="TableBullet"/>
              <w:ind w:left="284"/>
            </w:pPr>
            <w:r w:rsidRPr="003E7106">
              <w:t>service referrals for non-standard clients, outside of normal case-mix variations (volume).</w:t>
            </w:r>
          </w:p>
          <w:p w:rsidR="00EE0353" w:rsidRPr="003E7106" w:rsidRDefault="00EE0353" w:rsidP="00EE0353">
            <w:pPr>
              <w:pStyle w:val="TableText"/>
            </w:pPr>
            <w:r w:rsidRPr="003E7106">
              <w:t>Providers manage the risk for:</w:t>
            </w:r>
          </w:p>
          <w:p w:rsidR="00EE0353" w:rsidRPr="003E7106" w:rsidRDefault="00EE0353" w:rsidP="00EE0353">
            <w:pPr>
              <w:pStyle w:val="TableBullet"/>
              <w:ind w:left="284"/>
            </w:pPr>
            <w:r w:rsidRPr="003E7106">
              <w:t>variation of inputs for a known number of appropriately allocated clients within case-mix categories (efficiency)</w:t>
            </w:r>
          </w:p>
          <w:p w:rsidR="00EE0353" w:rsidRPr="003E7106" w:rsidRDefault="00EE0353" w:rsidP="00EE0353">
            <w:pPr>
              <w:pStyle w:val="TableBullet"/>
              <w:ind w:left="284"/>
            </w:pPr>
            <w:r w:rsidRPr="003E7106">
              <w:t>safe services by utilising appropriately competent and trained personnel (safety).</w:t>
            </w:r>
          </w:p>
          <w:p w:rsidR="00EE0353" w:rsidRPr="003E7106" w:rsidRDefault="00EE0353" w:rsidP="00EE0353">
            <w:pPr>
              <w:pStyle w:val="TableText"/>
            </w:pPr>
            <w:r w:rsidRPr="003E7106">
              <w:t>Nationally agreed minimum safety and service standards and worker competency criteria can be established for each case-mix category. Case mix also encourages Support Workers to work with older clients to maintain or regain a higher level of independence.</w:t>
            </w:r>
          </w:p>
        </w:tc>
      </w:tr>
    </w:tbl>
    <w:p w:rsidR="00EE0353" w:rsidRPr="003E7106" w:rsidRDefault="00EE0353"/>
    <w:p w:rsidR="00EE0353" w:rsidRPr="003E7106" w:rsidRDefault="00EE0353" w:rsidP="00EE0353">
      <w:bookmarkStart w:id="49" w:name="_Toc423677682"/>
      <w:r w:rsidRPr="003E7106">
        <w:br w:type="page"/>
      </w:r>
    </w:p>
    <w:p w:rsidR="00EE0353" w:rsidRPr="003E7106" w:rsidRDefault="00EE0353" w:rsidP="00EE0353">
      <w:pPr>
        <w:pStyle w:val="Heading1"/>
      </w:pPr>
      <w:bookmarkStart w:id="50" w:name="_Toc426009399"/>
      <w:r w:rsidRPr="003E7106">
        <w:t>Impact and affordability of Support Worker wages being paid on the basis of the required levels of training of the worker</w:t>
      </w:r>
      <w:bookmarkEnd w:id="49"/>
      <w:bookmarkEnd w:id="50"/>
    </w:p>
    <w:tbl>
      <w:tblPr>
        <w:tblW w:w="0" w:type="auto"/>
        <w:tblInd w:w="142" w:type="dxa"/>
        <w:tblLayout w:type="fixed"/>
        <w:tblLook w:val="04A0" w:firstRow="1" w:lastRow="0" w:firstColumn="1" w:lastColumn="0" w:noHBand="0" w:noVBand="1"/>
      </w:tblPr>
      <w:tblGrid>
        <w:gridCol w:w="2234"/>
        <w:gridCol w:w="12333"/>
      </w:tblGrid>
      <w:tr w:rsidR="00EE0353" w:rsidRPr="003E7106" w:rsidTr="00115FF8">
        <w:trPr>
          <w:cantSplit/>
          <w:tblHeader/>
        </w:trPr>
        <w:tc>
          <w:tcPr>
            <w:tcW w:w="2234" w:type="dxa"/>
            <w:shd w:val="clear" w:color="auto" w:fill="1F497D" w:themeFill="text2"/>
            <w:hideMark/>
          </w:tcPr>
          <w:p w:rsidR="00AE2835" w:rsidRPr="003E7106" w:rsidRDefault="00AE2835" w:rsidP="00FD2E53">
            <w:pPr>
              <w:pStyle w:val="TableText"/>
              <w:rPr>
                <w:b/>
                <w:color w:val="FFFFFF" w:themeColor="background1"/>
              </w:rPr>
            </w:pPr>
            <w:r w:rsidRPr="003E7106">
              <w:rPr>
                <w:b/>
                <w:color w:val="FFFFFF" w:themeColor="background1"/>
              </w:rPr>
              <w:t>Area</w:t>
            </w:r>
          </w:p>
        </w:tc>
        <w:tc>
          <w:tcPr>
            <w:tcW w:w="12333" w:type="dxa"/>
            <w:shd w:val="clear" w:color="auto" w:fill="1F497D" w:themeFill="text2"/>
            <w:hideMark/>
          </w:tcPr>
          <w:p w:rsidR="00AE2835" w:rsidRPr="003E7106" w:rsidRDefault="00AE2835" w:rsidP="00FD2E53">
            <w:pPr>
              <w:pStyle w:val="TableText"/>
              <w:rPr>
                <w:b/>
                <w:color w:val="FFFFFF" w:themeColor="background1"/>
              </w:rPr>
            </w:pPr>
            <w:r w:rsidRPr="003E7106">
              <w:rPr>
                <w:b/>
                <w:color w:val="FFFFFF" w:themeColor="background1"/>
              </w:rPr>
              <w:t>Key observations</w:t>
            </w:r>
          </w:p>
        </w:tc>
      </w:tr>
      <w:tr w:rsidR="00EE0353" w:rsidRPr="003E7106" w:rsidTr="00115FF8">
        <w:trPr>
          <w:cantSplit/>
        </w:trPr>
        <w:tc>
          <w:tcPr>
            <w:tcW w:w="2234" w:type="dxa"/>
            <w:shd w:val="clear" w:color="auto" w:fill="B8CCE4" w:themeFill="accent1" w:themeFillTint="66"/>
          </w:tcPr>
          <w:p w:rsidR="00EE0353" w:rsidRPr="003E7106" w:rsidRDefault="00EE0353" w:rsidP="00EE0353">
            <w:pPr>
              <w:pStyle w:val="Heading2"/>
            </w:pPr>
            <w:bookmarkStart w:id="51" w:name="_Toc423677683"/>
            <w:bookmarkStart w:id="52" w:name="_Toc426009400"/>
            <w:r w:rsidRPr="003E7106">
              <w:t>In-between Travel Settlement Agreement</w:t>
            </w:r>
            <w:bookmarkEnd w:id="51"/>
            <w:bookmarkEnd w:id="52"/>
          </w:p>
        </w:tc>
        <w:tc>
          <w:tcPr>
            <w:tcW w:w="12333" w:type="dxa"/>
            <w:shd w:val="clear" w:color="auto" w:fill="auto"/>
          </w:tcPr>
          <w:p w:rsidR="00EE0353" w:rsidRPr="003E7106" w:rsidRDefault="00EE0353" w:rsidP="00EE0353">
            <w:pPr>
              <w:pStyle w:val="TableText"/>
              <w:rPr>
                <w:rFonts w:cs="Arial"/>
              </w:rPr>
            </w:pPr>
            <w:r w:rsidRPr="003E7106">
              <w:rPr>
                <w:rFonts w:cs="Arial"/>
              </w:rPr>
              <w:t>The parties to the Settlement Agreement agreed to explore the impact and affordability of Support Worker wages being paid on the basis of the required levels of training of the worker as part of regularising the home and community support workforce.</w:t>
            </w:r>
          </w:p>
          <w:p w:rsidR="00EE0353" w:rsidRPr="003E7106" w:rsidRDefault="00EE0353" w:rsidP="00EE0353">
            <w:pPr>
              <w:pStyle w:val="TableText"/>
              <w:rPr>
                <w:rFonts w:cs="Arial"/>
              </w:rPr>
            </w:pPr>
            <w:r w:rsidRPr="003E7106">
              <w:t xml:space="preserve">The impacts of </w:t>
            </w:r>
            <w:r w:rsidRPr="003E7106">
              <w:rPr>
                <w:rFonts w:cs="Arial"/>
              </w:rPr>
              <w:t>Support Worker wages being paid on the basis of the required levels of training within an attractive remuneration framework comparable to other workforces applying similar levels of skill, knowledge and expertise include:</w:t>
            </w:r>
          </w:p>
          <w:p w:rsidR="00EE0353" w:rsidRPr="003E7106" w:rsidRDefault="00EE0353" w:rsidP="00EE0353">
            <w:pPr>
              <w:pStyle w:val="TableText"/>
              <w:spacing w:before="0"/>
              <w:ind w:left="425" w:hanging="425"/>
              <w:rPr>
                <w:rFonts w:cs="Arial"/>
              </w:rPr>
            </w:pPr>
            <w:r w:rsidRPr="003E7106">
              <w:rPr>
                <w:rFonts w:cs="Arial"/>
              </w:rPr>
              <w:t>1.</w:t>
            </w:r>
            <w:r w:rsidRPr="003E7106">
              <w:rPr>
                <w:rFonts w:cs="Arial"/>
              </w:rPr>
              <w:tab/>
              <w:t>incentivising workforce development and career planning</w:t>
            </w:r>
          </w:p>
          <w:p w:rsidR="00EE0353" w:rsidRPr="003E7106" w:rsidRDefault="00EE0353" w:rsidP="00EE0353">
            <w:pPr>
              <w:pStyle w:val="TableText"/>
              <w:spacing w:before="0"/>
              <w:ind w:left="425" w:hanging="425"/>
              <w:rPr>
                <w:rFonts w:cs="Arial"/>
              </w:rPr>
            </w:pPr>
            <w:r w:rsidRPr="003E7106">
              <w:rPr>
                <w:rFonts w:cs="Arial"/>
              </w:rPr>
              <w:t>2.</w:t>
            </w:r>
            <w:r w:rsidRPr="003E7106">
              <w:rPr>
                <w:rFonts w:cs="Arial"/>
              </w:rPr>
              <w:tab/>
              <w:t>increasing the visibility of workforce skill levels, improving Support Workers perceived status and value</w:t>
            </w:r>
          </w:p>
          <w:p w:rsidR="00EE0353" w:rsidRPr="003E7106" w:rsidRDefault="00EE0353" w:rsidP="00EE0353">
            <w:pPr>
              <w:pStyle w:val="TableText"/>
              <w:spacing w:before="0"/>
              <w:ind w:left="425" w:hanging="425"/>
              <w:rPr>
                <w:rFonts w:cs="Arial"/>
              </w:rPr>
            </w:pPr>
            <w:r w:rsidRPr="003E7106">
              <w:rPr>
                <w:rFonts w:cs="Arial"/>
              </w:rPr>
              <w:t>3.</w:t>
            </w:r>
            <w:r w:rsidRPr="003E7106">
              <w:rPr>
                <w:rFonts w:cs="Arial"/>
              </w:rPr>
              <w:tab/>
              <w:t>addressing ongoing significant recruitment and retention pressures</w:t>
            </w:r>
          </w:p>
          <w:p w:rsidR="00EE0353" w:rsidRPr="003E7106" w:rsidRDefault="00EE0353" w:rsidP="00EE0353">
            <w:pPr>
              <w:pStyle w:val="TableText"/>
              <w:spacing w:before="0"/>
              <w:ind w:left="425" w:hanging="425"/>
              <w:rPr>
                <w:rFonts w:cs="Arial"/>
              </w:rPr>
            </w:pPr>
            <w:r w:rsidRPr="003E7106">
              <w:rPr>
                <w:rFonts w:cs="Arial"/>
              </w:rPr>
              <w:t>4.</w:t>
            </w:r>
            <w:r w:rsidRPr="003E7106">
              <w:rPr>
                <w:rFonts w:cs="Arial"/>
              </w:rPr>
              <w:tab/>
              <w:t>aligning the value of the workforce with the value of the service the workforce provides in delivering home and community support services to older and disabled clients.</w:t>
            </w:r>
          </w:p>
          <w:p w:rsidR="00EE0353" w:rsidRPr="003E7106" w:rsidRDefault="00EE0353" w:rsidP="00EE0353">
            <w:pPr>
              <w:pStyle w:val="TableText"/>
              <w:rPr>
                <w:rFonts w:cs="Arial"/>
              </w:rPr>
            </w:pPr>
            <w:r w:rsidRPr="003E7106">
              <w:rPr>
                <w:rFonts w:cs="Arial"/>
              </w:rPr>
              <w:t>One caveat is that:</w:t>
            </w:r>
          </w:p>
          <w:p w:rsidR="00EE0353" w:rsidRPr="003E7106" w:rsidRDefault="00EE0353" w:rsidP="00EE0353">
            <w:pPr>
              <w:pStyle w:val="TableBullet"/>
              <w:ind w:left="284"/>
            </w:pPr>
            <w:r w:rsidRPr="003E7106">
              <w:t>Funding levels must be sufficient and regularly reviewed to ensure that providers can sustain the ongoing cost of maintaining wage differentials based on training.</w:t>
            </w:r>
          </w:p>
        </w:tc>
      </w:tr>
      <w:tr w:rsidR="00EE0353" w:rsidRPr="003E7106" w:rsidTr="00115FF8">
        <w:trPr>
          <w:cantSplit/>
        </w:trPr>
        <w:tc>
          <w:tcPr>
            <w:tcW w:w="2234" w:type="dxa"/>
            <w:shd w:val="clear" w:color="auto" w:fill="B8CCE4" w:themeFill="accent1" w:themeFillTint="66"/>
          </w:tcPr>
          <w:p w:rsidR="00EE0353" w:rsidRPr="003E7106" w:rsidRDefault="00EE0353" w:rsidP="00EE0353">
            <w:pPr>
              <w:pStyle w:val="Heading2"/>
            </w:pPr>
            <w:bookmarkStart w:id="53" w:name="_Toc423677684"/>
            <w:bookmarkStart w:id="54" w:name="_Toc426009401"/>
            <w:r w:rsidRPr="003E7106">
              <w:t>Current state</w:t>
            </w:r>
            <w:bookmarkEnd w:id="53"/>
            <w:bookmarkEnd w:id="54"/>
          </w:p>
        </w:tc>
        <w:tc>
          <w:tcPr>
            <w:tcW w:w="12333" w:type="dxa"/>
            <w:shd w:val="clear" w:color="auto" w:fill="auto"/>
          </w:tcPr>
          <w:p w:rsidR="00EE0353" w:rsidRPr="003E7106" w:rsidRDefault="00EE0353" w:rsidP="00EE0353">
            <w:pPr>
              <w:pStyle w:val="TableText"/>
            </w:pPr>
            <w:r w:rsidRPr="003E7106">
              <w:t>Generally there is no specific recognition of training or qualifications in Support Worker wages, and</w:t>
            </w:r>
            <w:r w:rsidRPr="003E7106">
              <w:rPr>
                <w:rFonts w:cs="Arial"/>
              </w:rPr>
              <w:t xml:space="preserve"> most Support Workers are paid at or close to the Minimum Wage, irrespective of any qualification they have. </w:t>
            </w:r>
            <w:r w:rsidRPr="003E7106">
              <w:t xml:space="preserve">Providers who have </w:t>
            </w:r>
            <w:r w:rsidRPr="003E7106">
              <w:rPr>
                <w:rFonts w:cs="Arial"/>
              </w:rPr>
              <w:t xml:space="preserve">introduced some recognition of skill differentials in wage rates </w:t>
            </w:r>
            <w:r w:rsidRPr="003E7106">
              <w:t xml:space="preserve">report that differentials are rapidly eroded through unfunded increases in statutory minima (the Minimum Wage, Kiwisaver contributions and ACC rates). Based on information from the </w:t>
            </w:r>
            <w:r w:rsidRPr="003E7106">
              <w:rPr>
                <w:rFonts w:cs="Arial"/>
              </w:rPr>
              <w:t xml:space="preserve">Ministry of Health 2015 Workforce </w:t>
            </w:r>
            <w:r w:rsidRPr="003E7106">
              <w:t>Survey, the increase in the Minimum Wage from $14.25 per hour to $14.75 per hour improved or matched the existing pay rate of 43% of the workforce.</w:t>
            </w:r>
          </w:p>
          <w:p w:rsidR="00EE0353" w:rsidRPr="003E7106" w:rsidRDefault="00EE0353" w:rsidP="00001A97">
            <w:pPr>
              <w:pStyle w:val="TableText"/>
            </w:pPr>
            <w:r w:rsidRPr="003E7106">
              <w:t xml:space="preserve">The </w:t>
            </w:r>
            <w:r w:rsidRPr="003E7106">
              <w:rPr>
                <w:rFonts w:cs="Arial"/>
              </w:rPr>
              <w:t>Ministry of Health 2015 workforce survey shows that the HCSS workforce is becoming qualified but continues to be paid at or close to the Minimum Wage. Thirty-one providers covering 4913 Support Workers (20% of the workforce) provided information on Support Worker wage rates and qualifications.</w:t>
            </w:r>
          </w:p>
        </w:tc>
      </w:tr>
      <w:tr w:rsidR="00001A97" w:rsidRPr="003E7106" w:rsidTr="00115FF8">
        <w:trPr>
          <w:cantSplit/>
        </w:trPr>
        <w:tc>
          <w:tcPr>
            <w:tcW w:w="2234" w:type="dxa"/>
            <w:shd w:val="clear" w:color="auto" w:fill="B8CCE4" w:themeFill="accent1" w:themeFillTint="66"/>
          </w:tcPr>
          <w:p w:rsidR="00001A97" w:rsidRPr="003E7106" w:rsidRDefault="00001A97" w:rsidP="00001A97">
            <w:pPr>
              <w:pStyle w:val="Heading3"/>
              <w:rPr>
                <w:rFonts w:cs="Arial"/>
                <w:b w:val="0"/>
              </w:rPr>
            </w:pPr>
            <w:r w:rsidRPr="003E7106">
              <w:t>Current state</w:t>
            </w:r>
            <w:r w:rsidRPr="003E7106">
              <w:rPr>
                <w:b w:val="0"/>
              </w:rPr>
              <w:t xml:space="preserve"> (continued)</w:t>
            </w:r>
          </w:p>
        </w:tc>
        <w:tc>
          <w:tcPr>
            <w:tcW w:w="12333" w:type="dxa"/>
            <w:shd w:val="clear" w:color="auto" w:fill="auto"/>
          </w:tcPr>
          <w:p w:rsidR="00001A97" w:rsidRPr="003E7106" w:rsidRDefault="00001A97" w:rsidP="00001A97">
            <w:pPr>
              <w:pStyle w:val="Figure"/>
            </w:pPr>
            <w:r w:rsidRPr="003E7106">
              <w:t>Figure 1: Percentage of Home and Community Support Workers with a recorded qualification, by hourly rate</w:t>
            </w:r>
          </w:p>
          <w:p w:rsidR="00001A97" w:rsidRPr="003E7106" w:rsidRDefault="00001A97" w:rsidP="00001A97">
            <w:pPr>
              <w:pStyle w:val="TableText"/>
              <w:rPr>
                <w:rFonts w:cs="Arial"/>
              </w:rPr>
            </w:pPr>
            <w:r w:rsidRPr="003E7106">
              <w:rPr>
                <w:noProof/>
                <w:lang w:eastAsia="en-NZ"/>
              </w:rPr>
              <w:drawing>
                <wp:inline distT="0" distB="0" distL="0" distR="0" wp14:anchorId="6808FBE6" wp14:editId="3BB49141">
                  <wp:extent cx="4788131" cy="2075113"/>
                  <wp:effectExtent l="0" t="0" r="0" b="1905"/>
                  <wp:docPr id="1" name="Chart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001A97" w:rsidRPr="003E7106" w:rsidTr="00115FF8">
        <w:trPr>
          <w:cantSplit/>
        </w:trPr>
        <w:tc>
          <w:tcPr>
            <w:tcW w:w="2234" w:type="dxa"/>
            <w:shd w:val="clear" w:color="auto" w:fill="B8CCE4" w:themeFill="accent1" w:themeFillTint="66"/>
          </w:tcPr>
          <w:p w:rsidR="00001A97" w:rsidRPr="003E7106" w:rsidRDefault="00001A97" w:rsidP="00001A97">
            <w:pPr>
              <w:pStyle w:val="Heading2"/>
            </w:pPr>
            <w:bookmarkStart w:id="55" w:name="_Toc426009402"/>
            <w:r w:rsidRPr="003E7106">
              <w:t>Qualification framework</w:t>
            </w:r>
            <w:bookmarkEnd w:id="55"/>
          </w:p>
        </w:tc>
        <w:tc>
          <w:tcPr>
            <w:tcW w:w="12333" w:type="dxa"/>
            <w:shd w:val="clear" w:color="auto" w:fill="auto"/>
          </w:tcPr>
          <w:p w:rsidR="00001A97" w:rsidRPr="003E7106" w:rsidRDefault="00001A97" w:rsidP="00001A97">
            <w:pPr>
              <w:pStyle w:val="TableText"/>
            </w:pPr>
            <w:r w:rsidRPr="003E7106">
              <w:t>The sector has worked closely with the ITO Careerforce to develop the New Zealand Health and Wellbeing qualification framework.</w:t>
            </w:r>
            <w:r w:rsidRPr="003E7106">
              <w:rPr>
                <w:rStyle w:val="FootnoteReference"/>
              </w:rPr>
              <w:footnoteReference w:id="9"/>
            </w:r>
            <w:r w:rsidRPr="003E7106">
              <w:t xml:space="preserve"> This is the only measure of the required levels of support-worker training that is objective, transparent and able to be consistently applied across the sector. Three levels of support-worker skills, knowledge and expertise are recognised, with New Zealand Qualifications Authority certificates creating a career path towards attaining higher-level, more specialised qualifications.</w:t>
            </w:r>
          </w:p>
          <w:p w:rsidR="00001A97" w:rsidRPr="003E7106" w:rsidRDefault="00001A97" w:rsidP="00001A97">
            <w:pPr>
              <w:pStyle w:val="TableText"/>
              <w:rPr>
                <w:rFonts w:cs="Arial"/>
              </w:rPr>
            </w:pPr>
            <w:r w:rsidRPr="003E7106">
              <w:rPr>
                <w:rFonts w:cs="Arial"/>
              </w:rPr>
              <w:t>The three qualification levels recognise differences in the levels of support that clients may require. Level 2 recognises proficiency in the provision of person-centred support; Level 3, Health Assistance, recognises the skills and knowledge required to support and empower people in their home; and Level 4</w:t>
            </w:r>
            <w:r w:rsidRPr="003E7106">
              <w:rPr>
                <w:rStyle w:val="FootnoteReference"/>
              </w:rPr>
              <w:footnoteReference w:id="10"/>
            </w:r>
            <w:r w:rsidRPr="003E7106">
              <w:rPr>
                <w:rFonts w:cs="Arial"/>
              </w:rPr>
              <w:t xml:space="preserve"> recognises expertise in advance support work, spinal injury support, or traumatic brain injury support.</w:t>
            </w:r>
          </w:p>
          <w:p w:rsidR="00001A97" w:rsidRPr="003E7106" w:rsidRDefault="00001A97" w:rsidP="00001A97">
            <w:pPr>
              <w:pStyle w:val="TableText"/>
              <w:rPr>
                <w:rFonts w:cs="Arial"/>
              </w:rPr>
            </w:pPr>
            <w:r w:rsidRPr="003E7106">
              <w:rPr>
                <w:rFonts w:cs="Arial"/>
              </w:rPr>
              <w:t>Anecdotally, staff turnover rates are between 20 and 40%, and the average tenure is 3.3 years. Providers report that higher starting rates of pay in roles that require similar levels of skills, knowledge and expertise available in other industries create recruitment and retention pressures. Recruitment and retention pressures reduce when entry rates, opportunities for pay increases and career development opportunities are comparable with other workforces applying similar skills, knowledge and expertise and providing comparable services.</w:t>
            </w:r>
          </w:p>
        </w:tc>
      </w:tr>
      <w:tr w:rsidR="00001A97" w:rsidRPr="003E7106" w:rsidTr="00115FF8">
        <w:trPr>
          <w:cantSplit/>
        </w:trPr>
        <w:tc>
          <w:tcPr>
            <w:tcW w:w="2234" w:type="dxa"/>
            <w:shd w:val="clear" w:color="auto" w:fill="B8CCE4" w:themeFill="accent1" w:themeFillTint="66"/>
          </w:tcPr>
          <w:p w:rsidR="00001A97" w:rsidRPr="003E7106" w:rsidRDefault="00001A97" w:rsidP="00001A97">
            <w:pPr>
              <w:pStyle w:val="Heading2"/>
            </w:pPr>
            <w:bookmarkStart w:id="56" w:name="_Toc426009403"/>
            <w:r w:rsidRPr="003E7106">
              <w:t>Potential remuneration framework</w:t>
            </w:r>
            <w:bookmarkEnd w:id="56"/>
          </w:p>
        </w:tc>
        <w:tc>
          <w:tcPr>
            <w:tcW w:w="12333" w:type="dxa"/>
            <w:shd w:val="clear" w:color="auto" w:fill="auto"/>
          </w:tcPr>
          <w:p w:rsidR="00001A97" w:rsidRPr="003E7106" w:rsidRDefault="00001A97" w:rsidP="00001A97">
            <w:pPr>
              <w:pStyle w:val="TableText"/>
              <w:rPr>
                <w:rFonts w:cs="Arial"/>
              </w:rPr>
            </w:pPr>
            <w:r w:rsidRPr="003E7106">
              <w:rPr>
                <w:rFonts w:cs="Arial"/>
              </w:rPr>
              <w:t>Within the health sector, DHB entry rates for comparable workforces are generally between $1 and $2.50 above the Minimum Wage and provide between $0.75 and $1.20 wage-step increases that recognise differences in performance, skills or qualifications. Increases are annual up to a maximum rate payable. The comparable turnover rates in DHBs are around 10% per annum.</w:t>
            </w:r>
          </w:p>
          <w:p w:rsidR="00001A97" w:rsidRPr="003E7106" w:rsidRDefault="00001A97" w:rsidP="00001A97">
            <w:pPr>
              <w:pStyle w:val="TableText"/>
              <w:rPr>
                <w:rFonts w:cs="Arial"/>
              </w:rPr>
            </w:pPr>
            <w:r w:rsidRPr="003E7106">
              <w:rPr>
                <w:rFonts w:cs="Arial"/>
              </w:rPr>
              <w:t>The joint DHBs/industry cost and pricing tool was used to assess the effect of moving the support-worker workforce to a remuneration framework comparable to that of a similar DHB-employed workforce. The cost implications are illustrated below.</w:t>
            </w:r>
          </w:p>
          <w:p w:rsidR="00001A97" w:rsidRPr="003E7106" w:rsidRDefault="00001A97" w:rsidP="00001A97">
            <w:pPr>
              <w:pStyle w:val="Table"/>
            </w:pPr>
            <w:r w:rsidRPr="003E7106">
              <w:t>Table 2: Cost implications of wages linked to qualifications</w:t>
            </w:r>
          </w:p>
          <w:tbl>
            <w:tblPr>
              <w:tblW w:w="44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7"/>
              <w:gridCol w:w="2693"/>
              <w:gridCol w:w="1137"/>
              <w:gridCol w:w="1133"/>
              <w:gridCol w:w="3431"/>
            </w:tblGrid>
            <w:tr w:rsidR="00001A97" w:rsidRPr="003E7106" w:rsidTr="00115FF8">
              <w:trPr>
                <w:cantSplit/>
              </w:trPr>
              <w:tc>
                <w:tcPr>
                  <w:tcW w:w="1125" w:type="pct"/>
                  <w:vMerge w:val="restart"/>
                  <w:shd w:val="clear" w:color="auto" w:fill="auto"/>
                </w:tcPr>
                <w:p w:rsidR="00001A97" w:rsidRPr="003E7106" w:rsidRDefault="00001A97" w:rsidP="00001A97">
                  <w:pPr>
                    <w:pStyle w:val="TableText"/>
                    <w:rPr>
                      <w:b/>
                    </w:rPr>
                  </w:pPr>
                  <w:r w:rsidRPr="003E7106">
                    <w:rPr>
                      <w:b/>
                    </w:rPr>
                    <w:t>Step increase</w:t>
                  </w:r>
                </w:p>
              </w:tc>
              <w:tc>
                <w:tcPr>
                  <w:tcW w:w="1768" w:type="pct"/>
                  <w:gridSpan w:val="2"/>
                  <w:shd w:val="clear" w:color="auto" w:fill="auto"/>
                </w:tcPr>
                <w:p w:rsidR="00001A97" w:rsidRPr="003E7106" w:rsidRDefault="00115FF8" w:rsidP="00115FF8">
                  <w:pPr>
                    <w:pStyle w:val="TableText"/>
                    <w:jc w:val="center"/>
                    <w:rPr>
                      <w:b/>
                    </w:rPr>
                  </w:pPr>
                  <w:r w:rsidRPr="003E7106">
                    <w:rPr>
                      <w:b/>
                    </w:rPr>
                    <w:t>$1 above Minimum Wage</w:t>
                  </w:r>
                </w:p>
              </w:tc>
              <w:tc>
                <w:tcPr>
                  <w:tcW w:w="2107" w:type="pct"/>
                  <w:gridSpan w:val="2"/>
                  <w:shd w:val="clear" w:color="auto" w:fill="auto"/>
                </w:tcPr>
                <w:p w:rsidR="00001A97" w:rsidRPr="003E7106" w:rsidRDefault="00115FF8" w:rsidP="00115FF8">
                  <w:pPr>
                    <w:pStyle w:val="TableText"/>
                    <w:jc w:val="center"/>
                    <w:rPr>
                      <w:b/>
                    </w:rPr>
                  </w:pPr>
                  <w:r w:rsidRPr="003E7106">
                    <w:rPr>
                      <w:b/>
                    </w:rPr>
                    <w:t>$2.50 above Minimum Wage</w:t>
                  </w:r>
                </w:p>
              </w:tc>
            </w:tr>
            <w:tr w:rsidR="00115FF8" w:rsidRPr="003E7106" w:rsidTr="00115FF8">
              <w:trPr>
                <w:cantSplit/>
              </w:trPr>
              <w:tc>
                <w:tcPr>
                  <w:tcW w:w="1125" w:type="pct"/>
                  <w:vMerge/>
                  <w:shd w:val="clear" w:color="auto" w:fill="auto"/>
                </w:tcPr>
                <w:p w:rsidR="00001A97" w:rsidRPr="003E7106" w:rsidRDefault="00001A97" w:rsidP="00001A97">
                  <w:pPr>
                    <w:pStyle w:val="TableText"/>
                    <w:rPr>
                      <w:b/>
                    </w:rPr>
                  </w:pPr>
                </w:p>
              </w:tc>
              <w:tc>
                <w:tcPr>
                  <w:tcW w:w="1243" w:type="pct"/>
                  <w:shd w:val="clear" w:color="auto" w:fill="auto"/>
                </w:tcPr>
                <w:p w:rsidR="00001A97" w:rsidRPr="003E7106" w:rsidRDefault="00001A97" w:rsidP="00115FF8">
                  <w:pPr>
                    <w:pStyle w:val="TableText"/>
                    <w:jc w:val="center"/>
                    <w:rPr>
                      <w:b/>
                    </w:rPr>
                  </w:pPr>
                  <w:r w:rsidRPr="003E7106">
                    <w:rPr>
                      <w:b/>
                    </w:rPr>
                    <w:t>$0.75</w:t>
                  </w:r>
                  <w:r w:rsidRPr="003E7106">
                    <w:br/>
                  </w:r>
                  <w:r w:rsidRPr="003E7106">
                    <w:rPr>
                      <w:sz w:val="16"/>
                      <w:szCs w:val="16"/>
                    </w:rPr>
                    <w:t>(comparable to DHB Home Aides)</w:t>
                  </w:r>
                </w:p>
              </w:tc>
              <w:tc>
                <w:tcPr>
                  <w:tcW w:w="524" w:type="pct"/>
                  <w:shd w:val="clear" w:color="auto" w:fill="auto"/>
                </w:tcPr>
                <w:p w:rsidR="00001A97" w:rsidRPr="003E7106" w:rsidRDefault="00001A97" w:rsidP="00115FF8">
                  <w:pPr>
                    <w:pStyle w:val="TableText"/>
                    <w:jc w:val="center"/>
                    <w:rPr>
                      <w:b/>
                    </w:rPr>
                  </w:pPr>
                  <w:r w:rsidRPr="003E7106">
                    <w:rPr>
                      <w:b/>
                    </w:rPr>
                    <w:t>$1.20</w:t>
                  </w:r>
                </w:p>
              </w:tc>
              <w:tc>
                <w:tcPr>
                  <w:tcW w:w="523" w:type="pct"/>
                  <w:shd w:val="clear" w:color="auto" w:fill="auto"/>
                </w:tcPr>
                <w:p w:rsidR="00001A97" w:rsidRPr="003E7106" w:rsidRDefault="00001A97" w:rsidP="00115FF8">
                  <w:pPr>
                    <w:pStyle w:val="TableText"/>
                    <w:jc w:val="center"/>
                    <w:rPr>
                      <w:b/>
                    </w:rPr>
                  </w:pPr>
                  <w:r w:rsidRPr="003E7106">
                    <w:rPr>
                      <w:b/>
                    </w:rPr>
                    <w:t>$0.75</w:t>
                  </w:r>
                </w:p>
              </w:tc>
              <w:tc>
                <w:tcPr>
                  <w:tcW w:w="1584" w:type="pct"/>
                  <w:shd w:val="clear" w:color="auto" w:fill="auto"/>
                </w:tcPr>
                <w:p w:rsidR="00001A97" w:rsidRPr="003E7106" w:rsidRDefault="00001A97" w:rsidP="00115FF8">
                  <w:pPr>
                    <w:pStyle w:val="TableText"/>
                    <w:jc w:val="center"/>
                    <w:rPr>
                      <w:b/>
                    </w:rPr>
                  </w:pPr>
                  <w:r w:rsidRPr="003E7106">
                    <w:rPr>
                      <w:b/>
                    </w:rPr>
                    <w:t>$1.20</w:t>
                  </w:r>
                  <w:r w:rsidRPr="003E7106">
                    <w:br/>
                  </w:r>
                  <w:r w:rsidRPr="003E7106">
                    <w:rPr>
                      <w:sz w:val="16"/>
                      <w:szCs w:val="16"/>
                    </w:rPr>
                    <w:t>(comparable to DHB Health Care Assistants)</w:t>
                  </w:r>
                </w:p>
              </w:tc>
            </w:tr>
            <w:tr w:rsidR="00115FF8" w:rsidRPr="003E7106" w:rsidTr="00115FF8">
              <w:trPr>
                <w:cantSplit/>
              </w:trPr>
              <w:tc>
                <w:tcPr>
                  <w:tcW w:w="1125" w:type="pct"/>
                  <w:tcBorders>
                    <w:bottom w:val="nil"/>
                  </w:tcBorders>
                  <w:shd w:val="clear" w:color="auto" w:fill="auto"/>
                </w:tcPr>
                <w:p w:rsidR="00001A97" w:rsidRPr="003E7106" w:rsidRDefault="00001A97" w:rsidP="00001A97">
                  <w:pPr>
                    <w:pStyle w:val="TableText"/>
                  </w:pPr>
                  <w:r w:rsidRPr="003E7106">
                    <w:t>No qualification rate</w:t>
                  </w:r>
                </w:p>
              </w:tc>
              <w:tc>
                <w:tcPr>
                  <w:tcW w:w="1243" w:type="pct"/>
                  <w:tcBorders>
                    <w:bottom w:val="nil"/>
                  </w:tcBorders>
                  <w:shd w:val="clear" w:color="auto" w:fill="auto"/>
                </w:tcPr>
                <w:p w:rsidR="00001A97" w:rsidRPr="003E7106" w:rsidRDefault="00001A97" w:rsidP="00115FF8">
                  <w:pPr>
                    <w:pStyle w:val="TableText"/>
                    <w:jc w:val="center"/>
                  </w:pPr>
                  <w:r w:rsidRPr="003E7106">
                    <w:t>$15.75</w:t>
                  </w:r>
                </w:p>
              </w:tc>
              <w:tc>
                <w:tcPr>
                  <w:tcW w:w="524" w:type="pct"/>
                  <w:tcBorders>
                    <w:bottom w:val="nil"/>
                  </w:tcBorders>
                  <w:shd w:val="clear" w:color="auto" w:fill="auto"/>
                </w:tcPr>
                <w:p w:rsidR="00001A97" w:rsidRPr="003E7106" w:rsidRDefault="00001A97" w:rsidP="00115FF8">
                  <w:pPr>
                    <w:pStyle w:val="TableText"/>
                    <w:jc w:val="center"/>
                  </w:pPr>
                  <w:r w:rsidRPr="003E7106">
                    <w:t>$15.75</w:t>
                  </w:r>
                </w:p>
              </w:tc>
              <w:tc>
                <w:tcPr>
                  <w:tcW w:w="523" w:type="pct"/>
                  <w:tcBorders>
                    <w:bottom w:val="nil"/>
                  </w:tcBorders>
                  <w:shd w:val="clear" w:color="auto" w:fill="auto"/>
                </w:tcPr>
                <w:p w:rsidR="00001A97" w:rsidRPr="003E7106" w:rsidRDefault="00001A97" w:rsidP="00115FF8">
                  <w:pPr>
                    <w:pStyle w:val="TableText"/>
                    <w:jc w:val="center"/>
                  </w:pPr>
                  <w:r w:rsidRPr="003E7106">
                    <w:t>$17.25</w:t>
                  </w:r>
                </w:p>
              </w:tc>
              <w:tc>
                <w:tcPr>
                  <w:tcW w:w="1584" w:type="pct"/>
                  <w:tcBorders>
                    <w:bottom w:val="nil"/>
                  </w:tcBorders>
                  <w:shd w:val="clear" w:color="auto" w:fill="auto"/>
                </w:tcPr>
                <w:p w:rsidR="00001A97" w:rsidRPr="003E7106" w:rsidRDefault="00001A97" w:rsidP="00115FF8">
                  <w:pPr>
                    <w:pStyle w:val="TableText"/>
                    <w:jc w:val="center"/>
                  </w:pPr>
                  <w:r w:rsidRPr="003E7106">
                    <w:t>$17.25</w:t>
                  </w:r>
                </w:p>
              </w:tc>
            </w:tr>
            <w:tr w:rsidR="00115FF8" w:rsidRPr="003E7106" w:rsidTr="00115FF8">
              <w:trPr>
                <w:cantSplit/>
              </w:trPr>
              <w:tc>
                <w:tcPr>
                  <w:tcW w:w="1125" w:type="pct"/>
                  <w:tcBorders>
                    <w:top w:val="nil"/>
                    <w:bottom w:val="nil"/>
                  </w:tcBorders>
                  <w:shd w:val="clear" w:color="auto" w:fill="auto"/>
                </w:tcPr>
                <w:p w:rsidR="00001A97" w:rsidRPr="003E7106" w:rsidRDefault="00001A97" w:rsidP="00001A97">
                  <w:pPr>
                    <w:pStyle w:val="TableText"/>
                    <w:spacing w:before="0"/>
                  </w:pPr>
                  <w:r w:rsidRPr="003E7106">
                    <w:t>Level 2 Certificate rate</w:t>
                  </w:r>
                </w:p>
              </w:tc>
              <w:tc>
                <w:tcPr>
                  <w:tcW w:w="1243" w:type="pct"/>
                  <w:tcBorders>
                    <w:top w:val="nil"/>
                    <w:bottom w:val="nil"/>
                  </w:tcBorders>
                  <w:shd w:val="clear" w:color="auto" w:fill="auto"/>
                </w:tcPr>
                <w:p w:rsidR="00001A97" w:rsidRPr="003E7106" w:rsidRDefault="00001A97" w:rsidP="00115FF8">
                  <w:pPr>
                    <w:pStyle w:val="TableText"/>
                    <w:spacing w:before="0"/>
                    <w:jc w:val="center"/>
                  </w:pPr>
                  <w:r w:rsidRPr="003E7106">
                    <w:t>$16.50</w:t>
                  </w:r>
                </w:p>
              </w:tc>
              <w:tc>
                <w:tcPr>
                  <w:tcW w:w="524" w:type="pct"/>
                  <w:tcBorders>
                    <w:top w:val="nil"/>
                    <w:bottom w:val="nil"/>
                  </w:tcBorders>
                  <w:shd w:val="clear" w:color="auto" w:fill="auto"/>
                </w:tcPr>
                <w:p w:rsidR="00001A97" w:rsidRPr="003E7106" w:rsidRDefault="00001A97" w:rsidP="00115FF8">
                  <w:pPr>
                    <w:pStyle w:val="TableText"/>
                    <w:spacing w:before="0"/>
                    <w:jc w:val="center"/>
                  </w:pPr>
                  <w:r w:rsidRPr="003E7106">
                    <w:t>$16.95</w:t>
                  </w:r>
                </w:p>
              </w:tc>
              <w:tc>
                <w:tcPr>
                  <w:tcW w:w="523" w:type="pct"/>
                  <w:tcBorders>
                    <w:top w:val="nil"/>
                    <w:bottom w:val="nil"/>
                  </w:tcBorders>
                  <w:shd w:val="clear" w:color="auto" w:fill="auto"/>
                </w:tcPr>
                <w:p w:rsidR="00001A97" w:rsidRPr="003E7106" w:rsidRDefault="00001A97" w:rsidP="00115FF8">
                  <w:pPr>
                    <w:pStyle w:val="TableText"/>
                    <w:spacing w:before="0"/>
                    <w:jc w:val="center"/>
                  </w:pPr>
                  <w:r w:rsidRPr="003E7106">
                    <w:t>$18.00</w:t>
                  </w:r>
                </w:p>
              </w:tc>
              <w:tc>
                <w:tcPr>
                  <w:tcW w:w="1584" w:type="pct"/>
                  <w:tcBorders>
                    <w:top w:val="nil"/>
                    <w:bottom w:val="nil"/>
                  </w:tcBorders>
                  <w:shd w:val="clear" w:color="auto" w:fill="auto"/>
                </w:tcPr>
                <w:p w:rsidR="00001A97" w:rsidRPr="003E7106" w:rsidRDefault="00001A97" w:rsidP="00115FF8">
                  <w:pPr>
                    <w:pStyle w:val="TableText"/>
                    <w:spacing w:before="0"/>
                    <w:jc w:val="center"/>
                  </w:pPr>
                  <w:r w:rsidRPr="003E7106">
                    <w:t>$18.45</w:t>
                  </w:r>
                </w:p>
              </w:tc>
            </w:tr>
            <w:tr w:rsidR="00115FF8" w:rsidRPr="003E7106" w:rsidTr="00115FF8">
              <w:trPr>
                <w:cantSplit/>
              </w:trPr>
              <w:tc>
                <w:tcPr>
                  <w:tcW w:w="1125" w:type="pct"/>
                  <w:tcBorders>
                    <w:top w:val="nil"/>
                    <w:bottom w:val="nil"/>
                  </w:tcBorders>
                  <w:shd w:val="clear" w:color="auto" w:fill="auto"/>
                </w:tcPr>
                <w:p w:rsidR="00001A97" w:rsidRPr="003E7106" w:rsidRDefault="00001A97" w:rsidP="00001A97">
                  <w:pPr>
                    <w:pStyle w:val="TableText"/>
                    <w:spacing w:before="0"/>
                  </w:pPr>
                  <w:r w:rsidRPr="003E7106">
                    <w:t>Level 3 Certificate rate</w:t>
                  </w:r>
                </w:p>
              </w:tc>
              <w:tc>
                <w:tcPr>
                  <w:tcW w:w="1243" w:type="pct"/>
                  <w:tcBorders>
                    <w:top w:val="nil"/>
                    <w:bottom w:val="nil"/>
                  </w:tcBorders>
                  <w:shd w:val="clear" w:color="auto" w:fill="auto"/>
                </w:tcPr>
                <w:p w:rsidR="00001A97" w:rsidRPr="003E7106" w:rsidRDefault="00001A97" w:rsidP="00115FF8">
                  <w:pPr>
                    <w:pStyle w:val="TableText"/>
                    <w:spacing w:before="0"/>
                    <w:jc w:val="center"/>
                  </w:pPr>
                  <w:r w:rsidRPr="003E7106">
                    <w:t>$17.25</w:t>
                  </w:r>
                </w:p>
              </w:tc>
              <w:tc>
                <w:tcPr>
                  <w:tcW w:w="524" w:type="pct"/>
                  <w:tcBorders>
                    <w:top w:val="nil"/>
                    <w:bottom w:val="nil"/>
                  </w:tcBorders>
                  <w:shd w:val="clear" w:color="auto" w:fill="auto"/>
                </w:tcPr>
                <w:p w:rsidR="00001A97" w:rsidRPr="003E7106" w:rsidRDefault="00001A97" w:rsidP="00115FF8">
                  <w:pPr>
                    <w:pStyle w:val="TableText"/>
                    <w:spacing w:before="0"/>
                    <w:jc w:val="center"/>
                  </w:pPr>
                  <w:r w:rsidRPr="003E7106">
                    <w:t>$18.15</w:t>
                  </w:r>
                </w:p>
              </w:tc>
              <w:tc>
                <w:tcPr>
                  <w:tcW w:w="523" w:type="pct"/>
                  <w:tcBorders>
                    <w:top w:val="nil"/>
                    <w:bottom w:val="nil"/>
                  </w:tcBorders>
                  <w:shd w:val="clear" w:color="auto" w:fill="auto"/>
                </w:tcPr>
                <w:p w:rsidR="00001A97" w:rsidRPr="003E7106" w:rsidRDefault="00001A97" w:rsidP="00115FF8">
                  <w:pPr>
                    <w:pStyle w:val="TableText"/>
                    <w:spacing w:before="0"/>
                    <w:jc w:val="center"/>
                  </w:pPr>
                  <w:r w:rsidRPr="003E7106">
                    <w:t>$18.75</w:t>
                  </w:r>
                </w:p>
              </w:tc>
              <w:tc>
                <w:tcPr>
                  <w:tcW w:w="1584" w:type="pct"/>
                  <w:tcBorders>
                    <w:top w:val="nil"/>
                    <w:bottom w:val="nil"/>
                  </w:tcBorders>
                  <w:shd w:val="clear" w:color="auto" w:fill="auto"/>
                </w:tcPr>
                <w:p w:rsidR="00001A97" w:rsidRPr="003E7106" w:rsidRDefault="00001A97" w:rsidP="00115FF8">
                  <w:pPr>
                    <w:pStyle w:val="TableText"/>
                    <w:spacing w:before="0"/>
                    <w:jc w:val="center"/>
                  </w:pPr>
                  <w:r w:rsidRPr="003E7106">
                    <w:t>$19.65</w:t>
                  </w:r>
                </w:p>
              </w:tc>
            </w:tr>
            <w:tr w:rsidR="00115FF8" w:rsidRPr="003E7106" w:rsidTr="00115FF8">
              <w:trPr>
                <w:cantSplit/>
              </w:trPr>
              <w:tc>
                <w:tcPr>
                  <w:tcW w:w="1125" w:type="pct"/>
                  <w:tcBorders>
                    <w:top w:val="nil"/>
                    <w:bottom w:val="nil"/>
                  </w:tcBorders>
                  <w:shd w:val="clear" w:color="auto" w:fill="auto"/>
                </w:tcPr>
                <w:p w:rsidR="00001A97" w:rsidRPr="003E7106" w:rsidRDefault="00001A97" w:rsidP="00001A97">
                  <w:pPr>
                    <w:pStyle w:val="TableText"/>
                    <w:spacing w:before="0"/>
                  </w:pPr>
                  <w:r w:rsidRPr="003E7106">
                    <w:t>Level 4 Certificate rate</w:t>
                  </w:r>
                </w:p>
              </w:tc>
              <w:tc>
                <w:tcPr>
                  <w:tcW w:w="1243" w:type="pct"/>
                  <w:tcBorders>
                    <w:top w:val="nil"/>
                    <w:bottom w:val="nil"/>
                  </w:tcBorders>
                  <w:shd w:val="clear" w:color="auto" w:fill="auto"/>
                </w:tcPr>
                <w:p w:rsidR="00001A97" w:rsidRPr="003E7106" w:rsidRDefault="00001A97" w:rsidP="00115FF8">
                  <w:pPr>
                    <w:pStyle w:val="TableText"/>
                    <w:spacing w:before="0"/>
                    <w:jc w:val="center"/>
                  </w:pPr>
                  <w:r w:rsidRPr="003E7106">
                    <w:t>$18.00</w:t>
                  </w:r>
                </w:p>
              </w:tc>
              <w:tc>
                <w:tcPr>
                  <w:tcW w:w="524" w:type="pct"/>
                  <w:tcBorders>
                    <w:top w:val="nil"/>
                    <w:bottom w:val="nil"/>
                  </w:tcBorders>
                  <w:shd w:val="clear" w:color="auto" w:fill="auto"/>
                </w:tcPr>
                <w:p w:rsidR="00001A97" w:rsidRPr="003E7106" w:rsidRDefault="00001A97" w:rsidP="00115FF8">
                  <w:pPr>
                    <w:pStyle w:val="TableText"/>
                    <w:spacing w:before="0"/>
                    <w:jc w:val="center"/>
                  </w:pPr>
                  <w:r w:rsidRPr="003E7106">
                    <w:t>$19.35</w:t>
                  </w:r>
                </w:p>
              </w:tc>
              <w:tc>
                <w:tcPr>
                  <w:tcW w:w="523" w:type="pct"/>
                  <w:tcBorders>
                    <w:top w:val="nil"/>
                    <w:bottom w:val="nil"/>
                  </w:tcBorders>
                  <w:shd w:val="clear" w:color="auto" w:fill="auto"/>
                </w:tcPr>
                <w:p w:rsidR="00001A97" w:rsidRPr="003E7106" w:rsidRDefault="00001A97" w:rsidP="00115FF8">
                  <w:pPr>
                    <w:pStyle w:val="TableText"/>
                    <w:spacing w:before="0"/>
                    <w:jc w:val="center"/>
                  </w:pPr>
                  <w:r w:rsidRPr="003E7106">
                    <w:t>$19.50</w:t>
                  </w:r>
                </w:p>
              </w:tc>
              <w:tc>
                <w:tcPr>
                  <w:tcW w:w="1584" w:type="pct"/>
                  <w:tcBorders>
                    <w:top w:val="nil"/>
                    <w:bottom w:val="nil"/>
                  </w:tcBorders>
                  <w:shd w:val="clear" w:color="auto" w:fill="auto"/>
                </w:tcPr>
                <w:p w:rsidR="00001A97" w:rsidRPr="003E7106" w:rsidRDefault="00001A97" w:rsidP="00115FF8">
                  <w:pPr>
                    <w:pStyle w:val="TableText"/>
                    <w:spacing w:before="0"/>
                    <w:jc w:val="center"/>
                  </w:pPr>
                  <w:r w:rsidRPr="003E7106">
                    <w:t>$20.85</w:t>
                  </w:r>
                </w:p>
              </w:tc>
            </w:tr>
            <w:tr w:rsidR="00115FF8" w:rsidRPr="003E7106" w:rsidTr="00115FF8">
              <w:trPr>
                <w:cantSplit/>
              </w:trPr>
              <w:tc>
                <w:tcPr>
                  <w:tcW w:w="1125" w:type="pct"/>
                  <w:tcBorders>
                    <w:top w:val="nil"/>
                  </w:tcBorders>
                  <w:shd w:val="clear" w:color="auto" w:fill="auto"/>
                </w:tcPr>
                <w:p w:rsidR="00001A97" w:rsidRPr="003E7106" w:rsidRDefault="00001A97" w:rsidP="00001A97">
                  <w:pPr>
                    <w:pStyle w:val="TableText"/>
                    <w:spacing w:before="0"/>
                  </w:pPr>
                  <w:r w:rsidRPr="003E7106">
                    <w:t>Increase in baseline cost</w:t>
                  </w:r>
                </w:p>
              </w:tc>
              <w:tc>
                <w:tcPr>
                  <w:tcW w:w="1243" w:type="pct"/>
                  <w:tcBorders>
                    <w:top w:val="nil"/>
                  </w:tcBorders>
                  <w:shd w:val="clear" w:color="auto" w:fill="auto"/>
                </w:tcPr>
                <w:p w:rsidR="00001A97" w:rsidRPr="003E7106" w:rsidRDefault="00001A97" w:rsidP="00115FF8">
                  <w:pPr>
                    <w:pStyle w:val="TableText"/>
                    <w:spacing w:before="0"/>
                    <w:jc w:val="center"/>
                  </w:pPr>
                  <w:r w:rsidRPr="003E7106">
                    <w:t>5.87%</w:t>
                  </w:r>
                </w:p>
              </w:tc>
              <w:tc>
                <w:tcPr>
                  <w:tcW w:w="524" w:type="pct"/>
                  <w:tcBorders>
                    <w:top w:val="nil"/>
                  </w:tcBorders>
                  <w:shd w:val="clear" w:color="auto" w:fill="auto"/>
                </w:tcPr>
                <w:p w:rsidR="00001A97" w:rsidRPr="003E7106" w:rsidRDefault="00001A97" w:rsidP="00115FF8">
                  <w:pPr>
                    <w:pStyle w:val="TableText"/>
                    <w:spacing w:before="0"/>
                    <w:jc w:val="center"/>
                  </w:pPr>
                  <w:r w:rsidRPr="003E7106">
                    <w:t>8.53%</w:t>
                  </w:r>
                </w:p>
              </w:tc>
              <w:tc>
                <w:tcPr>
                  <w:tcW w:w="523" w:type="pct"/>
                  <w:tcBorders>
                    <w:top w:val="nil"/>
                  </w:tcBorders>
                  <w:shd w:val="clear" w:color="auto" w:fill="auto"/>
                </w:tcPr>
                <w:p w:rsidR="00001A97" w:rsidRPr="003E7106" w:rsidRDefault="00001A97" w:rsidP="00115FF8">
                  <w:pPr>
                    <w:pStyle w:val="TableText"/>
                    <w:spacing w:before="0"/>
                    <w:jc w:val="center"/>
                  </w:pPr>
                  <w:r w:rsidRPr="003E7106">
                    <w:t>11.57%</w:t>
                  </w:r>
                </w:p>
              </w:tc>
              <w:tc>
                <w:tcPr>
                  <w:tcW w:w="1584" w:type="pct"/>
                  <w:tcBorders>
                    <w:top w:val="nil"/>
                  </w:tcBorders>
                  <w:shd w:val="clear" w:color="auto" w:fill="auto"/>
                </w:tcPr>
                <w:p w:rsidR="00001A97" w:rsidRPr="003E7106" w:rsidRDefault="00001A97" w:rsidP="00115FF8">
                  <w:pPr>
                    <w:pStyle w:val="TableText"/>
                    <w:spacing w:before="0"/>
                    <w:jc w:val="center"/>
                  </w:pPr>
                  <w:r w:rsidRPr="003E7106">
                    <w:t>14.6%</w:t>
                  </w:r>
                </w:p>
              </w:tc>
            </w:tr>
          </w:tbl>
          <w:p w:rsidR="00001A97" w:rsidRPr="003E7106" w:rsidRDefault="00001A97" w:rsidP="00115FF8">
            <w:pPr>
              <w:pStyle w:val="Note"/>
            </w:pPr>
            <w:r w:rsidRPr="003E7106">
              <w:t>Notes</w:t>
            </w:r>
          </w:p>
          <w:p w:rsidR="00001A97" w:rsidRPr="003E7106" w:rsidRDefault="00001A97" w:rsidP="00115FF8">
            <w:pPr>
              <w:pStyle w:val="Note"/>
              <w:ind w:left="0" w:firstLine="0"/>
            </w:pPr>
            <w:r w:rsidRPr="003E7106">
              <w:t>The increase in baseline costs of Support Worker wages being paid on the basis of the required levels of training under the remuneration framework(s) in Table 2 above has been estimated using the price/cost model in Appendix 1.</w:t>
            </w:r>
          </w:p>
          <w:p w:rsidR="00001A97" w:rsidRPr="003E7106" w:rsidRDefault="00001A97" w:rsidP="00115FF8">
            <w:pPr>
              <w:pStyle w:val="Note"/>
              <w:ind w:left="0" w:firstLine="0"/>
            </w:pPr>
            <w:r w:rsidRPr="003E7106">
              <w:t>National qualification rates are assumed to be consistent with the Ministry of Health 2015 Workforce Survey results (see Figure 2 below).</w:t>
            </w:r>
          </w:p>
          <w:p w:rsidR="00001A97" w:rsidRPr="003E7106" w:rsidRDefault="00001A97" w:rsidP="00115FF8">
            <w:pPr>
              <w:pStyle w:val="Note"/>
              <w:ind w:left="0" w:firstLine="0"/>
              <w:rPr>
                <w:rFonts w:cs="Arial"/>
              </w:rPr>
            </w:pPr>
            <w:r w:rsidRPr="003E7106">
              <w:t>The assumption is that increase in baseline cost is from a baseline that has all Support Workers paid at $15.00 per hour, which is the median rate calculated from the Ministry of Health 2015 Workforce Survey.</w:t>
            </w:r>
          </w:p>
        </w:tc>
      </w:tr>
      <w:tr w:rsidR="00AE2835" w:rsidRPr="003E7106" w:rsidTr="00115FF8">
        <w:trPr>
          <w:cantSplit/>
        </w:trPr>
        <w:tc>
          <w:tcPr>
            <w:tcW w:w="2234" w:type="dxa"/>
            <w:shd w:val="clear" w:color="auto" w:fill="B8CCE4" w:themeFill="accent1" w:themeFillTint="66"/>
          </w:tcPr>
          <w:p w:rsidR="00AE2835" w:rsidRPr="003E7106" w:rsidRDefault="00AE2835" w:rsidP="00115FF8">
            <w:pPr>
              <w:pStyle w:val="Heading2"/>
            </w:pPr>
            <w:bookmarkStart w:id="57" w:name="_Toc426009404"/>
            <w:r w:rsidRPr="003E7106">
              <w:t>Comparative health sector wage rates</w:t>
            </w:r>
            <w:bookmarkEnd w:id="57"/>
          </w:p>
        </w:tc>
        <w:tc>
          <w:tcPr>
            <w:tcW w:w="12333" w:type="dxa"/>
            <w:shd w:val="clear" w:color="auto" w:fill="auto"/>
          </w:tcPr>
          <w:p w:rsidR="00AE2835" w:rsidRPr="003E7106" w:rsidRDefault="00AE2835" w:rsidP="00FD2E53">
            <w:pPr>
              <w:pStyle w:val="TableText"/>
            </w:pPr>
            <w:r w:rsidRPr="003E7106">
              <w:t xml:space="preserve">The HCSS providers, DHBs and unions consider the DHB-employed Health Care Assistant workforce </w:t>
            </w:r>
            <w:r w:rsidRPr="003E7106">
              <w:rPr>
                <w:rFonts w:cs="Arial"/>
              </w:rPr>
              <w:t xml:space="preserve">provides a comparable service to Support Workers and </w:t>
            </w:r>
            <w:r w:rsidRPr="003E7106">
              <w:t xml:space="preserve">applies very </w:t>
            </w:r>
            <w:r w:rsidRPr="003E7106">
              <w:rPr>
                <w:rFonts w:cs="Arial"/>
              </w:rPr>
              <w:t xml:space="preserve">similar skills, knowledge and expertise. Due to the isolation and lack of support and supervision, the demands on home Support Workers is much greater. The three parties consider that support-worker wage rates need to be aligned to the </w:t>
            </w:r>
            <w:r w:rsidRPr="003E7106">
              <w:t>DHB-employed Health Care Assistant role</w:t>
            </w:r>
            <w:r w:rsidRPr="003E7106">
              <w:rPr>
                <w:rFonts w:cs="Arial"/>
              </w:rPr>
              <w:t xml:space="preserve"> in order to attract and retain a high-quality workforce on an ongoing basis.</w:t>
            </w:r>
            <w:r w:rsidRPr="003E7106">
              <w:t xml:space="preserve"> This is consistent with the </w:t>
            </w:r>
            <w:r w:rsidRPr="003E7106">
              <w:rPr>
                <w:rFonts w:cs="Arial"/>
              </w:rPr>
              <w:t xml:space="preserve">recommendation of the Human Rights Commission in the 2012 report on equal employment opportunities in the aged care sector, </w:t>
            </w:r>
            <w:r w:rsidRPr="003E7106">
              <w:rPr>
                <w:rFonts w:cs="Arial"/>
                <w:i/>
              </w:rPr>
              <w:t>Caring Counts</w:t>
            </w:r>
            <w:r w:rsidRPr="003E7106">
              <w:rPr>
                <w:rFonts w:cs="Arial"/>
              </w:rPr>
              <w:t>.</w:t>
            </w:r>
            <w:r w:rsidRPr="003E7106">
              <w:rPr>
                <w:rStyle w:val="FootnoteReference"/>
              </w:rPr>
              <w:footnoteReference w:id="11"/>
            </w:r>
          </w:p>
          <w:p w:rsidR="0082259D" w:rsidRPr="003E7106" w:rsidRDefault="00AE2835" w:rsidP="00FD2E53">
            <w:pPr>
              <w:pStyle w:val="TableText"/>
              <w:rPr>
                <w:rFonts w:cs="Arial"/>
              </w:rPr>
            </w:pPr>
            <w:r w:rsidRPr="003E7106">
              <w:rPr>
                <w:rFonts w:cs="Arial"/>
              </w:rPr>
              <w:t>Current rates paid to DHB-employed Health Care Assistants range from $17.02 to $19.65 gross per hour over a four-step scale that does not have a requirement to hold a qualification to progress. These rates closely align with a support-worker remuneration framework with an entry rate at $2.50 above the Minimum Wage and step increases of $1.20 over four steps.</w:t>
            </w:r>
          </w:p>
          <w:p w:rsidR="0082259D" w:rsidRPr="003E7106" w:rsidRDefault="00AE2835" w:rsidP="00FD2E53">
            <w:pPr>
              <w:pStyle w:val="TableText"/>
              <w:rPr>
                <w:rFonts w:cs="Arial"/>
              </w:rPr>
            </w:pPr>
            <w:r w:rsidRPr="003E7106">
              <w:rPr>
                <w:rFonts w:cs="Arial"/>
              </w:rPr>
              <w:t>DHB-employed home aides have similar roles to Support Workers. Rates paid range from $15.48 to $18.15 gross per hour over six steps linked to the level of qualification held. These rates closely align with a Support Worker remuneration framework with an entry rate at $1.00 above the Minimum Wage with no qualifications and step increases of $0.75 over four steps.</w:t>
            </w:r>
          </w:p>
          <w:p w:rsidR="0082259D" w:rsidRPr="003E7106" w:rsidRDefault="00AE2835" w:rsidP="00FD2E53">
            <w:pPr>
              <w:pStyle w:val="TableText"/>
              <w:rPr>
                <w:rFonts w:cs="Arial"/>
              </w:rPr>
            </w:pPr>
            <w:r w:rsidRPr="003E7106">
              <w:rPr>
                <w:rFonts w:cs="Arial"/>
              </w:rPr>
              <w:t xml:space="preserve">The unions consider </w:t>
            </w:r>
            <w:r w:rsidRPr="003E7106">
              <w:t xml:space="preserve">the </w:t>
            </w:r>
            <w:r w:rsidRPr="003E7106">
              <w:rPr>
                <w:rFonts w:cs="Arial"/>
              </w:rPr>
              <w:t xml:space="preserve">DHB-employed home aide workforce applies skills, knowledge and expertise comparable to those of the DHB-employed </w:t>
            </w:r>
            <w:r w:rsidRPr="003E7106">
              <w:t xml:space="preserve">Health Care Assistants. It advises that it has sought parity in rates over successive bargaining processes. The workforce </w:t>
            </w:r>
            <w:r w:rsidRPr="003E7106">
              <w:rPr>
                <w:rFonts w:cs="Arial"/>
              </w:rPr>
              <w:t>is small, and the union contends that wage rates are principally driven by the larger orderly, cleaning and kitchen/laundry workforces, and the move by all but a handful of rural DHBs to exit their in-house services in favour of the work being taken over by providers contracted to the DHB funder arms.</w:t>
            </w:r>
          </w:p>
          <w:p w:rsidR="00AE2835" w:rsidRPr="003E7106" w:rsidRDefault="00AE2835" w:rsidP="00FD2E53">
            <w:pPr>
              <w:pStyle w:val="TableText"/>
              <w:rPr>
                <w:rFonts w:cs="Arial"/>
              </w:rPr>
            </w:pPr>
            <w:r w:rsidRPr="003E7106">
              <w:rPr>
                <w:rFonts w:cs="Arial"/>
              </w:rPr>
              <w:t>The providers and unions both consider a support-worker remuneration framework closely aligned to rates paid to DHB-employed home aides is not high enough to address recruitment and retention pressures on an ongoing basis. Both cite the DHB-employed Health Care Assistant role as the main health sector source of recruitment and retention pressures. Providers report that many of their most skilled and valued Support Workers leave at the first opportunity to move into these higher-paying roles.</w:t>
            </w:r>
          </w:p>
          <w:p w:rsidR="00AE2835" w:rsidRPr="003E7106" w:rsidRDefault="00AE2835" w:rsidP="00115FF8">
            <w:pPr>
              <w:pStyle w:val="TableText"/>
            </w:pPr>
            <w:r w:rsidRPr="003E7106">
              <w:t>The unions have a pay equity proposal that uses an independently developed gender-neutral job evaluation of the Support Worker role to demonstrate that Support Worker</w:t>
            </w:r>
            <w:r w:rsidRPr="003E7106">
              <w:rPr>
                <w:rFonts w:cs="Arial"/>
              </w:rPr>
              <w:t xml:space="preserve"> skills, knowledge and expertise closely align with those of correction officer roles. Current Correction Officer rates range from $23.33 to $28.73 gross per hour over four steps linked to the level of qualification held.</w:t>
            </w:r>
          </w:p>
        </w:tc>
      </w:tr>
    </w:tbl>
    <w:p w:rsidR="00115FF8" w:rsidRPr="003E7106" w:rsidRDefault="00115FF8"/>
    <w:p w:rsidR="00115FF8" w:rsidRPr="003E7106" w:rsidRDefault="00115FF8" w:rsidP="00115FF8">
      <w:bookmarkStart w:id="58" w:name="_Toc423677685"/>
      <w:r w:rsidRPr="003E7106">
        <w:br w:type="page"/>
      </w:r>
    </w:p>
    <w:p w:rsidR="00115FF8" w:rsidRPr="003E7106" w:rsidRDefault="00115FF8" w:rsidP="00115FF8">
      <w:pPr>
        <w:pStyle w:val="Heading1"/>
      </w:pPr>
      <w:bookmarkStart w:id="59" w:name="_Toc426009405"/>
      <w:r w:rsidRPr="003E7106">
        <w:t>Impact and affordability of providing paid training time to enable Support Workers to obtain Level 3 New Zealand Certificate qualification</w:t>
      </w:r>
      <w:bookmarkEnd w:id="58"/>
      <w:r w:rsidRPr="003E7106">
        <w:t>s</w:t>
      </w:r>
      <w:bookmarkEnd w:id="59"/>
    </w:p>
    <w:tbl>
      <w:tblPr>
        <w:tblW w:w="0" w:type="auto"/>
        <w:tblInd w:w="142" w:type="dxa"/>
        <w:tblLayout w:type="fixed"/>
        <w:tblLook w:val="04A0" w:firstRow="1" w:lastRow="0" w:firstColumn="1" w:lastColumn="0" w:noHBand="0" w:noVBand="1"/>
      </w:tblPr>
      <w:tblGrid>
        <w:gridCol w:w="2234"/>
        <w:gridCol w:w="12333"/>
      </w:tblGrid>
      <w:tr w:rsidR="00115FF8" w:rsidRPr="003E7106" w:rsidTr="001810CE">
        <w:trPr>
          <w:cantSplit/>
          <w:tblHeader/>
        </w:trPr>
        <w:tc>
          <w:tcPr>
            <w:tcW w:w="2234" w:type="dxa"/>
            <w:shd w:val="clear" w:color="auto" w:fill="1F497D" w:themeFill="text2"/>
            <w:hideMark/>
          </w:tcPr>
          <w:p w:rsidR="00AE2835" w:rsidRPr="003E7106" w:rsidRDefault="00AE2835" w:rsidP="00115FF8">
            <w:pPr>
              <w:pStyle w:val="TableText"/>
              <w:rPr>
                <w:b/>
                <w:color w:val="FFFFFF" w:themeColor="background1"/>
              </w:rPr>
            </w:pPr>
            <w:r w:rsidRPr="003E7106">
              <w:rPr>
                <w:b/>
                <w:color w:val="FFFFFF" w:themeColor="background1"/>
              </w:rPr>
              <w:t>Area</w:t>
            </w:r>
          </w:p>
        </w:tc>
        <w:tc>
          <w:tcPr>
            <w:tcW w:w="12333" w:type="dxa"/>
            <w:shd w:val="clear" w:color="auto" w:fill="1F497D" w:themeFill="text2"/>
            <w:hideMark/>
          </w:tcPr>
          <w:p w:rsidR="00AE2835" w:rsidRPr="003E7106" w:rsidRDefault="00AE2835" w:rsidP="00115FF8">
            <w:pPr>
              <w:pStyle w:val="TableText"/>
              <w:rPr>
                <w:b/>
                <w:color w:val="FFFFFF" w:themeColor="background1"/>
              </w:rPr>
            </w:pPr>
            <w:r w:rsidRPr="003E7106">
              <w:rPr>
                <w:b/>
                <w:color w:val="FFFFFF" w:themeColor="background1"/>
              </w:rPr>
              <w:t>Key observations</w:t>
            </w:r>
          </w:p>
        </w:tc>
      </w:tr>
      <w:tr w:rsidR="00115FF8" w:rsidRPr="003E7106" w:rsidTr="001810CE">
        <w:trPr>
          <w:cantSplit/>
        </w:trPr>
        <w:tc>
          <w:tcPr>
            <w:tcW w:w="2234" w:type="dxa"/>
            <w:shd w:val="clear" w:color="auto" w:fill="B8CCE4" w:themeFill="accent1" w:themeFillTint="66"/>
          </w:tcPr>
          <w:p w:rsidR="00115FF8" w:rsidRPr="003E7106" w:rsidRDefault="00115FF8" w:rsidP="00115FF8">
            <w:pPr>
              <w:pStyle w:val="Heading2"/>
            </w:pPr>
            <w:bookmarkStart w:id="60" w:name="_Toc423677686"/>
            <w:bookmarkStart w:id="61" w:name="_Toc426009406"/>
            <w:r w:rsidRPr="003E7106">
              <w:t>Background</w:t>
            </w:r>
            <w:bookmarkEnd w:id="60"/>
            <w:bookmarkEnd w:id="61"/>
          </w:p>
        </w:tc>
        <w:tc>
          <w:tcPr>
            <w:tcW w:w="12333" w:type="dxa"/>
            <w:shd w:val="clear" w:color="auto" w:fill="auto"/>
          </w:tcPr>
          <w:p w:rsidR="00115FF8" w:rsidRPr="003E7106" w:rsidRDefault="00115FF8" w:rsidP="00115FF8">
            <w:pPr>
              <w:pStyle w:val="TableText"/>
              <w:rPr>
                <w:rFonts w:cs="Arial"/>
              </w:rPr>
            </w:pPr>
            <w:r w:rsidRPr="003E7106">
              <w:rPr>
                <w:rFonts w:cs="Arial"/>
              </w:rPr>
              <w:t xml:space="preserve">In 2011 the Auditor-General noted in the </w:t>
            </w:r>
            <w:r w:rsidRPr="003E7106">
              <w:rPr>
                <w:rFonts w:cs="Arial"/>
                <w:i/>
              </w:rPr>
              <w:t>Report on Home-based Services for Older People</w:t>
            </w:r>
            <w:r w:rsidRPr="003E7106">
              <w:rPr>
                <w:rFonts w:cs="Arial"/>
              </w:rPr>
              <w:t xml:space="preserve"> that Support Workers were generally viewed as unskilled, and that better levels of training are required to develop staff and ensure they are able to provide the increasingly complex level of home and community support services that older people need. In a 2014 review of progress, the Auditor-General commented that the Ministry of Health and DHBs had made some progress in strengthening management contracts as a way of ensuring service providers’ staff are adequately trained and supervised.</w:t>
            </w:r>
          </w:p>
          <w:p w:rsidR="00115FF8" w:rsidRPr="003E7106" w:rsidRDefault="00115FF8" w:rsidP="00115FF8">
            <w:pPr>
              <w:pStyle w:val="TableText"/>
              <w:rPr>
                <w:rFonts w:cs="Arial"/>
              </w:rPr>
            </w:pPr>
            <w:r w:rsidRPr="003E7106">
              <w:rPr>
                <w:rFonts w:cs="Arial"/>
              </w:rPr>
              <w:t>Since 2011 the sector has worked closely with the sector Industry Training Organisation Careerforce to develop the New Zealand Health and Wellbeing qualification framework. This New Zealand Qualification Authority-recognised framework comprises the:</w:t>
            </w:r>
          </w:p>
          <w:p w:rsidR="00115FF8" w:rsidRPr="003E7106" w:rsidRDefault="00115FF8" w:rsidP="00115FF8">
            <w:pPr>
              <w:pStyle w:val="TableText"/>
              <w:ind w:left="425" w:hanging="425"/>
              <w:rPr>
                <w:rFonts w:cs="Arial"/>
              </w:rPr>
            </w:pPr>
            <w:r w:rsidRPr="003E7106">
              <w:rPr>
                <w:rFonts w:cs="Arial"/>
              </w:rPr>
              <w:t>1.</w:t>
            </w:r>
            <w:r w:rsidRPr="003E7106">
              <w:rPr>
                <w:rFonts w:cs="Arial"/>
              </w:rPr>
              <w:tab/>
              <w:t>New Zealand Health and Wellbeing Level 2 certificate, recognising proficiency in the provision of person-centred support</w:t>
            </w:r>
          </w:p>
          <w:p w:rsidR="00115FF8" w:rsidRPr="003E7106" w:rsidRDefault="00115FF8" w:rsidP="00115FF8">
            <w:pPr>
              <w:pStyle w:val="TableText"/>
              <w:ind w:left="425" w:hanging="425"/>
              <w:rPr>
                <w:rFonts w:cs="Arial"/>
              </w:rPr>
            </w:pPr>
            <w:r w:rsidRPr="003E7106">
              <w:rPr>
                <w:rFonts w:cs="Arial"/>
              </w:rPr>
              <w:t>2.</w:t>
            </w:r>
            <w:r w:rsidRPr="003E7106">
              <w:rPr>
                <w:rFonts w:cs="Arial"/>
              </w:rPr>
              <w:tab/>
              <w:t>New Zealand Health and Wellbeing Level 3 certificate, recognising the skills and knowledge required to support and empower people in their home or community setting</w:t>
            </w:r>
          </w:p>
          <w:p w:rsidR="00115FF8" w:rsidRPr="003E7106" w:rsidRDefault="00115FF8" w:rsidP="00115FF8">
            <w:pPr>
              <w:pStyle w:val="TableText"/>
              <w:ind w:left="425" w:hanging="425"/>
              <w:rPr>
                <w:rFonts w:cs="Arial"/>
              </w:rPr>
            </w:pPr>
            <w:r w:rsidRPr="003E7106">
              <w:rPr>
                <w:rFonts w:cs="Arial"/>
              </w:rPr>
              <w:t>3.</w:t>
            </w:r>
            <w:r w:rsidRPr="003E7106">
              <w:rPr>
                <w:rFonts w:cs="Arial"/>
              </w:rPr>
              <w:tab/>
              <w:t>New Zealand Health and Wellbeing Level 4 certificate, recognising expertise in one of three specialist areas of care: spinal injury, traumatic brain injury or advanced support work.</w:t>
            </w:r>
          </w:p>
          <w:p w:rsidR="00115FF8" w:rsidRPr="003E7106" w:rsidRDefault="00115FF8" w:rsidP="00115FF8">
            <w:pPr>
              <w:pStyle w:val="TableText"/>
              <w:rPr>
                <w:rFonts w:cs="Arial"/>
              </w:rPr>
            </w:pPr>
            <w:r w:rsidRPr="003E7106">
              <w:rPr>
                <w:rFonts w:cs="Arial"/>
              </w:rPr>
              <w:t>See Appendix 2 for detailed information about the content of Level 2 and Level 3 qualifications.</w:t>
            </w:r>
          </w:p>
          <w:p w:rsidR="00115FF8" w:rsidRPr="003E7106" w:rsidRDefault="00115FF8" w:rsidP="00115FF8">
            <w:pPr>
              <w:pStyle w:val="TableText"/>
              <w:rPr>
                <w:rFonts w:cs="Arial"/>
              </w:rPr>
            </w:pPr>
            <w:r w:rsidRPr="003E7106">
              <w:rPr>
                <w:rFonts w:cs="Arial"/>
              </w:rPr>
              <w:t>Learning and assessment occur in the workplace, with support from providers. In general, funding is linked to service provision, and providers are not funded for time spent training or the costs of support, classroom training, verification and ITO costs. The workforce and the majority of Support Workers are not paid for their time being trained. The current model of self-directed learning takes the average Support Worker 18 months to two years to complete. Well under 50% of Support Workers are currently offered the opportunity to complete formal qualifications. Low rates of qualified Support Workers affect providers’ ability to arrange travel rosters efficiently and to meet increasing demand for high-end care cases.</w:t>
            </w:r>
          </w:p>
          <w:p w:rsidR="00115FF8" w:rsidRPr="003E7106" w:rsidRDefault="00115FF8" w:rsidP="00115FF8">
            <w:pPr>
              <w:pStyle w:val="TableText"/>
              <w:rPr>
                <w:rFonts w:cs="Arial"/>
              </w:rPr>
            </w:pPr>
            <w:r w:rsidRPr="003E7106">
              <w:rPr>
                <w:rFonts w:cs="Arial"/>
              </w:rPr>
              <w:t>Over the past five years the number of Support Workers achieving qualifications and the level of achievement has grown. In 2012 ACC introduced a requirement for specific worker qualification into contracts with lead suppliers, with the specific intention of increasing workforce skill level. This and any future investment in training will contribute to a training culture within the sector.</w:t>
            </w:r>
          </w:p>
          <w:p w:rsidR="00115FF8" w:rsidRPr="003E7106" w:rsidRDefault="00115FF8" w:rsidP="00115FF8">
            <w:pPr>
              <w:pStyle w:val="TableText"/>
            </w:pPr>
            <w:r w:rsidRPr="003E7106">
              <w:t xml:space="preserve">The Ministry of Health 2015 Workforce Survey shows that the </w:t>
            </w:r>
            <w:r w:rsidRPr="003E7106">
              <w:rPr>
                <w:rFonts w:cs="Arial"/>
              </w:rPr>
              <w:t xml:space="preserve">home and </w:t>
            </w:r>
            <w:r w:rsidRPr="003E7106">
              <w:t>community support-worker workforce</w:t>
            </w:r>
            <w:r w:rsidRPr="003E7106">
              <w:rPr>
                <w:rFonts w:cs="Arial"/>
              </w:rPr>
              <w:t xml:space="preserve"> </w:t>
            </w:r>
            <w:r w:rsidRPr="003E7106">
              <w:t>is becoming increasingly more qualified, although the overall percentages are still low. Thirty-two providers covering 8324 Support Workers (34.6% of the estimated 24,000 support-worker workforce) provided information on workforce qualifications (see Figure 2 and Table 3).</w:t>
            </w:r>
          </w:p>
        </w:tc>
      </w:tr>
      <w:tr w:rsidR="00AE2835" w:rsidRPr="003E7106" w:rsidTr="001810CE">
        <w:trPr>
          <w:cantSplit/>
        </w:trPr>
        <w:tc>
          <w:tcPr>
            <w:tcW w:w="2234" w:type="dxa"/>
            <w:shd w:val="clear" w:color="auto" w:fill="B8CCE4" w:themeFill="accent1" w:themeFillTint="66"/>
            <w:hideMark/>
          </w:tcPr>
          <w:p w:rsidR="00AE2835" w:rsidRPr="003E7106" w:rsidRDefault="00115FF8" w:rsidP="004C54E9">
            <w:pPr>
              <w:pStyle w:val="Heading3"/>
              <w:rPr>
                <w:b w:val="0"/>
              </w:rPr>
            </w:pPr>
            <w:r w:rsidRPr="003E7106">
              <w:t>Background</w:t>
            </w:r>
            <w:r w:rsidR="004C54E9" w:rsidRPr="003E7106">
              <w:br/>
            </w:r>
            <w:r w:rsidRPr="003E7106">
              <w:rPr>
                <w:b w:val="0"/>
              </w:rPr>
              <w:t>(continued)</w:t>
            </w:r>
          </w:p>
        </w:tc>
        <w:tc>
          <w:tcPr>
            <w:tcW w:w="12333" w:type="dxa"/>
            <w:shd w:val="clear" w:color="auto" w:fill="auto"/>
          </w:tcPr>
          <w:p w:rsidR="0082259D" w:rsidRPr="003E7106" w:rsidRDefault="00AE2835" w:rsidP="00115FF8">
            <w:pPr>
              <w:pStyle w:val="Figure"/>
            </w:pPr>
            <w:r w:rsidRPr="003E7106">
              <w:t>Figure 2: Percentage of Home and Community Support Workers with a recorded qualification</w:t>
            </w:r>
          </w:p>
          <w:p w:rsidR="00AE2835" w:rsidRPr="003E7106" w:rsidRDefault="00AE2835" w:rsidP="00115FF8">
            <w:pPr>
              <w:pStyle w:val="TableText"/>
            </w:pPr>
            <w:r w:rsidRPr="003E7106">
              <w:rPr>
                <w:noProof/>
                <w:lang w:eastAsia="en-NZ"/>
              </w:rPr>
              <w:drawing>
                <wp:inline distT="0" distB="0" distL="0" distR="0" wp14:anchorId="19353745" wp14:editId="2995FE93">
                  <wp:extent cx="5112327" cy="1527245"/>
                  <wp:effectExtent l="0" t="0" r="0" b="0"/>
                  <wp:docPr id="2"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E2835" w:rsidRPr="003E7106" w:rsidRDefault="00AE2835" w:rsidP="00115FF8">
            <w:pPr>
              <w:pStyle w:val="Source"/>
              <w:rPr>
                <w:rFonts w:cs="Arial"/>
              </w:rPr>
            </w:pPr>
            <w:r w:rsidRPr="003E7106">
              <w:t>Source: Ministry of Health 2015 Home and Community Support Service Workforce Survey</w:t>
            </w:r>
          </w:p>
          <w:p w:rsidR="00AE2835" w:rsidRPr="003E7106" w:rsidRDefault="00AE2835" w:rsidP="004C54E9">
            <w:pPr>
              <w:pStyle w:val="Table"/>
            </w:pPr>
            <w:r w:rsidRPr="003E7106">
              <w:t>Table 3: Number of Home and Community Support Workers with a recorded qualification, by employer size</w:t>
            </w:r>
          </w:p>
          <w:tbl>
            <w:tblPr>
              <w:tblW w:w="11086"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A0" w:firstRow="1" w:lastRow="0" w:firstColumn="1" w:lastColumn="0" w:noHBand="0" w:noVBand="1"/>
            </w:tblPr>
            <w:tblGrid>
              <w:gridCol w:w="1353"/>
              <w:gridCol w:w="1086"/>
              <w:gridCol w:w="1133"/>
              <w:gridCol w:w="1337"/>
              <w:gridCol w:w="1333"/>
              <w:gridCol w:w="1474"/>
              <w:gridCol w:w="1109"/>
              <w:gridCol w:w="1135"/>
              <w:gridCol w:w="1126"/>
            </w:tblGrid>
            <w:tr w:rsidR="00086570" w:rsidRPr="003E7106" w:rsidTr="007C56CE">
              <w:trPr>
                <w:cantSplit/>
              </w:trPr>
              <w:tc>
                <w:tcPr>
                  <w:tcW w:w="610" w:type="pct"/>
                  <w:vMerge w:val="restart"/>
                  <w:shd w:val="clear" w:color="auto" w:fill="auto"/>
                </w:tcPr>
                <w:p w:rsidR="00115FF8" w:rsidRPr="0090009A" w:rsidRDefault="00115FF8" w:rsidP="00086570">
                  <w:pPr>
                    <w:pStyle w:val="TableText"/>
                    <w:rPr>
                      <w:b/>
                      <w:sz w:val="17"/>
                      <w:szCs w:val="17"/>
                    </w:rPr>
                  </w:pPr>
                  <w:r w:rsidRPr="0090009A">
                    <w:rPr>
                      <w:b/>
                      <w:sz w:val="17"/>
                      <w:szCs w:val="17"/>
                    </w:rPr>
                    <w:t>Employer size</w:t>
                  </w:r>
                </w:p>
              </w:tc>
              <w:tc>
                <w:tcPr>
                  <w:tcW w:w="490" w:type="pct"/>
                  <w:vMerge w:val="restart"/>
                  <w:shd w:val="clear" w:color="auto" w:fill="auto"/>
                  <w:hideMark/>
                </w:tcPr>
                <w:p w:rsidR="00115FF8" w:rsidRPr="0090009A" w:rsidRDefault="00115FF8" w:rsidP="00086570">
                  <w:pPr>
                    <w:pStyle w:val="TableText"/>
                    <w:jc w:val="center"/>
                    <w:rPr>
                      <w:b/>
                      <w:sz w:val="17"/>
                      <w:szCs w:val="17"/>
                    </w:rPr>
                  </w:pPr>
                  <w:r w:rsidRPr="0090009A">
                    <w:rPr>
                      <w:b/>
                      <w:sz w:val="17"/>
                      <w:szCs w:val="17"/>
                    </w:rPr>
                    <w:t>None</w:t>
                  </w:r>
                </w:p>
              </w:tc>
              <w:tc>
                <w:tcPr>
                  <w:tcW w:w="511" w:type="pct"/>
                  <w:vMerge w:val="restart"/>
                  <w:shd w:val="clear" w:color="auto" w:fill="auto"/>
                  <w:hideMark/>
                </w:tcPr>
                <w:p w:rsidR="00115FF8" w:rsidRPr="0090009A" w:rsidRDefault="00115FF8" w:rsidP="00086570">
                  <w:pPr>
                    <w:pStyle w:val="TableText"/>
                    <w:jc w:val="center"/>
                    <w:rPr>
                      <w:b/>
                      <w:sz w:val="17"/>
                      <w:szCs w:val="17"/>
                    </w:rPr>
                  </w:pPr>
                  <w:r w:rsidRPr="0090009A">
                    <w:rPr>
                      <w:b/>
                      <w:sz w:val="17"/>
                      <w:szCs w:val="17"/>
                    </w:rPr>
                    <w:t>On the job</w:t>
                  </w:r>
                </w:p>
              </w:tc>
              <w:tc>
                <w:tcPr>
                  <w:tcW w:w="1869" w:type="pct"/>
                  <w:gridSpan w:val="3"/>
                  <w:shd w:val="clear" w:color="auto" w:fill="auto"/>
                  <w:hideMark/>
                </w:tcPr>
                <w:p w:rsidR="00115FF8" w:rsidRPr="0090009A" w:rsidRDefault="00115FF8" w:rsidP="00086570">
                  <w:pPr>
                    <w:pStyle w:val="TableText"/>
                    <w:jc w:val="center"/>
                    <w:rPr>
                      <w:b/>
                      <w:sz w:val="17"/>
                      <w:szCs w:val="17"/>
                    </w:rPr>
                  </w:pPr>
                  <w:r w:rsidRPr="0090009A">
                    <w:rPr>
                      <w:b/>
                      <w:sz w:val="17"/>
                      <w:szCs w:val="17"/>
                    </w:rPr>
                    <w:t>New Zealand Qualifications Authority</w:t>
                  </w:r>
                </w:p>
              </w:tc>
              <w:tc>
                <w:tcPr>
                  <w:tcW w:w="500" w:type="pct"/>
                  <w:vMerge w:val="restart"/>
                  <w:shd w:val="clear" w:color="auto" w:fill="auto"/>
                  <w:hideMark/>
                </w:tcPr>
                <w:p w:rsidR="00115FF8" w:rsidRPr="0090009A" w:rsidRDefault="00115FF8" w:rsidP="00086570">
                  <w:pPr>
                    <w:pStyle w:val="TableText"/>
                    <w:jc w:val="center"/>
                    <w:rPr>
                      <w:b/>
                      <w:sz w:val="17"/>
                      <w:szCs w:val="17"/>
                    </w:rPr>
                  </w:pPr>
                  <w:r w:rsidRPr="0090009A">
                    <w:rPr>
                      <w:b/>
                      <w:sz w:val="17"/>
                      <w:szCs w:val="17"/>
                    </w:rPr>
                    <w:t>Graduate/</w:t>
                  </w:r>
                  <w:r w:rsidRPr="0090009A">
                    <w:rPr>
                      <w:b/>
                      <w:sz w:val="17"/>
                      <w:szCs w:val="17"/>
                    </w:rPr>
                    <w:br/>
                    <w:t>postgrad</w:t>
                  </w:r>
                </w:p>
              </w:tc>
              <w:tc>
                <w:tcPr>
                  <w:tcW w:w="512" w:type="pct"/>
                  <w:vMerge w:val="restart"/>
                  <w:shd w:val="clear" w:color="auto" w:fill="auto"/>
                  <w:hideMark/>
                </w:tcPr>
                <w:p w:rsidR="00115FF8" w:rsidRPr="0090009A" w:rsidRDefault="00115FF8" w:rsidP="00086570">
                  <w:pPr>
                    <w:pStyle w:val="TableText"/>
                    <w:jc w:val="center"/>
                    <w:rPr>
                      <w:b/>
                      <w:sz w:val="17"/>
                      <w:szCs w:val="17"/>
                    </w:rPr>
                  </w:pPr>
                  <w:r w:rsidRPr="0090009A">
                    <w:rPr>
                      <w:b/>
                      <w:sz w:val="17"/>
                      <w:szCs w:val="17"/>
                    </w:rPr>
                    <w:t>Other</w:t>
                  </w:r>
                </w:p>
              </w:tc>
              <w:tc>
                <w:tcPr>
                  <w:tcW w:w="509" w:type="pct"/>
                  <w:vMerge w:val="restart"/>
                  <w:shd w:val="clear" w:color="auto" w:fill="auto"/>
                  <w:hideMark/>
                </w:tcPr>
                <w:p w:rsidR="00115FF8" w:rsidRPr="0090009A" w:rsidRDefault="00115FF8" w:rsidP="00086570">
                  <w:pPr>
                    <w:pStyle w:val="TableText"/>
                    <w:jc w:val="center"/>
                    <w:rPr>
                      <w:b/>
                      <w:sz w:val="17"/>
                      <w:szCs w:val="17"/>
                    </w:rPr>
                  </w:pPr>
                  <w:r w:rsidRPr="0090009A">
                    <w:rPr>
                      <w:b/>
                      <w:sz w:val="17"/>
                      <w:szCs w:val="17"/>
                    </w:rPr>
                    <w:t>Total</w:t>
                  </w:r>
                </w:p>
              </w:tc>
            </w:tr>
            <w:tr w:rsidR="00086570" w:rsidRPr="003E7106" w:rsidTr="007C56CE">
              <w:trPr>
                <w:cantSplit/>
              </w:trPr>
              <w:tc>
                <w:tcPr>
                  <w:tcW w:w="610" w:type="pct"/>
                  <w:vMerge/>
                  <w:shd w:val="clear" w:color="auto" w:fill="auto"/>
                  <w:hideMark/>
                </w:tcPr>
                <w:p w:rsidR="00115FF8" w:rsidRPr="0090009A" w:rsidRDefault="00115FF8" w:rsidP="00086570">
                  <w:pPr>
                    <w:pStyle w:val="TableText"/>
                    <w:rPr>
                      <w:b/>
                      <w:sz w:val="17"/>
                      <w:szCs w:val="17"/>
                    </w:rPr>
                  </w:pPr>
                </w:p>
              </w:tc>
              <w:tc>
                <w:tcPr>
                  <w:tcW w:w="490" w:type="pct"/>
                  <w:vMerge/>
                  <w:shd w:val="clear" w:color="auto" w:fill="auto"/>
                  <w:hideMark/>
                </w:tcPr>
                <w:p w:rsidR="00115FF8" w:rsidRPr="0090009A" w:rsidRDefault="00115FF8" w:rsidP="00086570">
                  <w:pPr>
                    <w:pStyle w:val="TableText"/>
                    <w:rPr>
                      <w:b/>
                      <w:sz w:val="17"/>
                      <w:szCs w:val="17"/>
                    </w:rPr>
                  </w:pPr>
                </w:p>
              </w:tc>
              <w:tc>
                <w:tcPr>
                  <w:tcW w:w="511" w:type="pct"/>
                  <w:vMerge/>
                  <w:shd w:val="clear" w:color="auto" w:fill="auto"/>
                  <w:hideMark/>
                </w:tcPr>
                <w:p w:rsidR="00115FF8" w:rsidRPr="0090009A" w:rsidRDefault="00115FF8" w:rsidP="00086570">
                  <w:pPr>
                    <w:pStyle w:val="TableText"/>
                    <w:rPr>
                      <w:b/>
                      <w:sz w:val="17"/>
                      <w:szCs w:val="17"/>
                    </w:rPr>
                  </w:pPr>
                </w:p>
              </w:tc>
              <w:tc>
                <w:tcPr>
                  <w:tcW w:w="603" w:type="pct"/>
                  <w:shd w:val="clear" w:color="auto" w:fill="auto"/>
                  <w:hideMark/>
                </w:tcPr>
                <w:p w:rsidR="00115FF8" w:rsidRPr="0090009A" w:rsidRDefault="00115FF8" w:rsidP="00086570">
                  <w:pPr>
                    <w:pStyle w:val="TableText"/>
                    <w:jc w:val="center"/>
                    <w:rPr>
                      <w:b/>
                      <w:sz w:val="17"/>
                      <w:szCs w:val="17"/>
                    </w:rPr>
                  </w:pPr>
                  <w:r w:rsidRPr="0090009A">
                    <w:rPr>
                      <w:b/>
                      <w:sz w:val="17"/>
                      <w:szCs w:val="17"/>
                    </w:rPr>
                    <w:t>Level 2</w:t>
                  </w:r>
                </w:p>
              </w:tc>
              <w:tc>
                <w:tcPr>
                  <w:tcW w:w="601" w:type="pct"/>
                  <w:shd w:val="clear" w:color="auto" w:fill="auto"/>
                  <w:hideMark/>
                </w:tcPr>
                <w:p w:rsidR="00115FF8" w:rsidRPr="0090009A" w:rsidRDefault="00115FF8" w:rsidP="00086570">
                  <w:pPr>
                    <w:pStyle w:val="TableText"/>
                    <w:jc w:val="center"/>
                    <w:rPr>
                      <w:b/>
                      <w:sz w:val="17"/>
                      <w:szCs w:val="17"/>
                    </w:rPr>
                  </w:pPr>
                  <w:r w:rsidRPr="0090009A">
                    <w:rPr>
                      <w:b/>
                      <w:sz w:val="17"/>
                      <w:szCs w:val="17"/>
                    </w:rPr>
                    <w:t>Level 3</w:t>
                  </w:r>
                </w:p>
              </w:tc>
              <w:tc>
                <w:tcPr>
                  <w:tcW w:w="664" w:type="pct"/>
                  <w:shd w:val="clear" w:color="auto" w:fill="auto"/>
                  <w:hideMark/>
                </w:tcPr>
                <w:p w:rsidR="00115FF8" w:rsidRPr="0090009A" w:rsidRDefault="00115FF8" w:rsidP="00086570">
                  <w:pPr>
                    <w:pStyle w:val="TableText"/>
                    <w:jc w:val="center"/>
                    <w:rPr>
                      <w:b/>
                      <w:sz w:val="17"/>
                      <w:szCs w:val="17"/>
                    </w:rPr>
                  </w:pPr>
                  <w:r w:rsidRPr="0090009A">
                    <w:rPr>
                      <w:b/>
                      <w:sz w:val="17"/>
                      <w:szCs w:val="17"/>
                    </w:rPr>
                    <w:t>Certificate</w:t>
                  </w:r>
                </w:p>
              </w:tc>
              <w:tc>
                <w:tcPr>
                  <w:tcW w:w="500" w:type="pct"/>
                  <w:vMerge/>
                  <w:shd w:val="clear" w:color="auto" w:fill="auto"/>
                  <w:hideMark/>
                </w:tcPr>
                <w:p w:rsidR="00115FF8" w:rsidRPr="0090009A" w:rsidRDefault="00115FF8" w:rsidP="00086570">
                  <w:pPr>
                    <w:pStyle w:val="TableText"/>
                    <w:rPr>
                      <w:sz w:val="17"/>
                      <w:szCs w:val="17"/>
                    </w:rPr>
                  </w:pPr>
                </w:p>
              </w:tc>
              <w:tc>
                <w:tcPr>
                  <w:tcW w:w="512" w:type="pct"/>
                  <w:vMerge/>
                  <w:shd w:val="clear" w:color="auto" w:fill="auto"/>
                  <w:hideMark/>
                </w:tcPr>
                <w:p w:rsidR="00115FF8" w:rsidRPr="0090009A" w:rsidRDefault="00115FF8" w:rsidP="00086570">
                  <w:pPr>
                    <w:pStyle w:val="TableText"/>
                    <w:rPr>
                      <w:sz w:val="17"/>
                      <w:szCs w:val="17"/>
                    </w:rPr>
                  </w:pPr>
                </w:p>
              </w:tc>
              <w:tc>
                <w:tcPr>
                  <w:tcW w:w="509" w:type="pct"/>
                  <w:vMerge/>
                  <w:shd w:val="clear" w:color="auto" w:fill="auto"/>
                  <w:hideMark/>
                </w:tcPr>
                <w:p w:rsidR="00115FF8" w:rsidRPr="0090009A" w:rsidRDefault="00115FF8" w:rsidP="00086570">
                  <w:pPr>
                    <w:pStyle w:val="TableText"/>
                    <w:rPr>
                      <w:sz w:val="17"/>
                      <w:szCs w:val="17"/>
                    </w:rPr>
                  </w:pPr>
                </w:p>
              </w:tc>
            </w:tr>
            <w:tr w:rsidR="00086570" w:rsidRPr="003E7106" w:rsidTr="007C56CE">
              <w:trPr>
                <w:cantSplit/>
              </w:trPr>
              <w:tc>
                <w:tcPr>
                  <w:tcW w:w="610" w:type="pct"/>
                  <w:tcBorders>
                    <w:bottom w:val="nil"/>
                  </w:tcBorders>
                  <w:shd w:val="clear" w:color="auto" w:fill="auto"/>
                  <w:hideMark/>
                </w:tcPr>
                <w:p w:rsidR="00AE2835" w:rsidRPr="0090009A" w:rsidRDefault="00AE2835" w:rsidP="00086570">
                  <w:pPr>
                    <w:pStyle w:val="TableText"/>
                    <w:rPr>
                      <w:sz w:val="17"/>
                      <w:szCs w:val="17"/>
                    </w:rPr>
                  </w:pPr>
                  <w:r w:rsidRPr="0090009A">
                    <w:rPr>
                      <w:sz w:val="17"/>
                      <w:szCs w:val="17"/>
                    </w:rPr>
                    <w:t>1−50</w:t>
                  </w:r>
                </w:p>
              </w:tc>
              <w:tc>
                <w:tcPr>
                  <w:tcW w:w="490" w:type="pct"/>
                  <w:tcBorders>
                    <w:bottom w:val="nil"/>
                  </w:tcBorders>
                  <w:shd w:val="clear" w:color="auto" w:fill="auto"/>
                  <w:hideMark/>
                </w:tcPr>
                <w:p w:rsidR="00AE2835" w:rsidRPr="0090009A" w:rsidRDefault="00AE2835" w:rsidP="0090009A">
                  <w:pPr>
                    <w:pStyle w:val="TableText"/>
                    <w:jc w:val="center"/>
                    <w:rPr>
                      <w:sz w:val="17"/>
                      <w:szCs w:val="17"/>
                    </w:rPr>
                  </w:pPr>
                  <w:r w:rsidRPr="0090009A">
                    <w:rPr>
                      <w:sz w:val="17"/>
                      <w:szCs w:val="17"/>
                    </w:rPr>
                    <w:t>0</w:t>
                  </w:r>
                  <w:r w:rsidRPr="0090009A">
                    <w:rPr>
                      <w:sz w:val="17"/>
                      <w:szCs w:val="17"/>
                    </w:rPr>
                    <w:br/>
                  </w:r>
                </w:p>
              </w:tc>
              <w:tc>
                <w:tcPr>
                  <w:tcW w:w="511" w:type="pct"/>
                  <w:tcBorders>
                    <w:bottom w:val="nil"/>
                  </w:tcBorders>
                  <w:shd w:val="clear" w:color="auto" w:fill="auto"/>
                  <w:hideMark/>
                </w:tcPr>
                <w:p w:rsidR="00AE2835" w:rsidRPr="0090009A" w:rsidRDefault="00AE2835" w:rsidP="0090009A">
                  <w:pPr>
                    <w:pStyle w:val="TableText"/>
                    <w:jc w:val="center"/>
                    <w:rPr>
                      <w:sz w:val="17"/>
                      <w:szCs w:val="17"/>
                    </w:rPr>
                  </w:pPr>
                  <w:r w:rsidRPr="0090009A">
                    <w:rPr>
                      <w:sz w:val="17"/>
                      <w:szCs w:val="17"/>
                    </w:rPr>
                    <w:t>84</w:t>
                  </w:r>
                  <w:r w:rsidRPr="0090009A">
                    <w:rPr>
                      <w:sz w:val="17"/>
                      <w:szCs w:val="17"/>
                    </w:rPr>
                    <w:br/>
                    <w:t>(39%)</w:t>
                  </w:r>
                </w:p>
              </w:tc>
              <w:tc>
                <w:tcPr>
                  <w:tcW w:w="603" w:type="pct"/>
                  <w:tcBorders>
                    <w:bottom w:val="nil"/>
                  </w:tcBorders>
                  <w:shd w:val="clear" w:color="auto" w:fill="auto"/>
                  <w:hideMark/>
                </w:tcPr>
                <w:p w:rsidR="00AE2835" w:rsidRPr="0090009A" w:rsidRDefault="00AE2835" w:rsidP="0090009A">
                  <w:pPr>
                    <w:pStyle w:val="TableText"/>
                    <w:jc w:val="center"/>
                    <w:rPr>
                      <w:sz w:val="17"/>
                      <w:szCs w:val="17"/>
                    </w:rPr>
                  </w:pPr>
                  <w:r w:rsidRPr="0090009A">
                    <w:rPr>
                      <w:sz w:val="17"/>
                      <w:szCs w:val="17"/>
                    </w:rPr>
                    <w:t>33</w:t>
                  </w:r>
                  <w:r w:rsidRPr="0090009A">
                    <w:rPr>
                      <w:sz w:val="17"/>
                      <w:szCs w:val="17"/>
                    </w:rPr>
                    <w:br/>
                    <w:t>(15%)</w:t>
                  </w:r>
                </w:p>
              </w:tc>
              <w:tc>
                <w:tcPr>
                  <w:tcW w:w="601" w:type="pct"/>
                  <w:tcBorders>
                    <w:bottom w:val="nil"/>
                  </w:tcBorders>
                  <w:shd w:val="clear" w:color="auto" w:fill="auto"/>
                  <w:hideMark/>
                </w:tcPr>
                <w:p w:rsidR="00AE2835" w:rsidRPr="0090009A" w:rsidRDefault="00AE2835" w:rsidP="0090009A">
                  <w:pPr>
                    <w:pStyle w:val="TableText"/>
                    <w:jc w:val="center"/>
                    <w:rPr>
                      <w:sz w:val="17"/>
                      <w:szCs w:val="17"/>
                    </w:rPr>
                  </w:pPr>
                  <w:r w:rsidRPr="0090009A">
                    <w:rPr>
                      <w:sz w:val="17"/>
                      <w:szCs w:val="17"/>
                    </w:rPr>
                    <w:t>17</w:t>
                  </w:r>
                  <w:r w:rsidRPr="0090009A">
                    <w:rPr>
                      <w:sz w:val="17"/>
                      <w:szCs w:val="17"/>
                    </w:rPr>
                    <w:br/>
                    <w:t>(8%)</w:t>
                  </w:r>
                </w:p>
              </w:tc>
              <w:tc>
                <w:tcPr>
                  <w:tcW w:w="664" w:type="pct"/>
                  <w:tcBorders>
                    <w:bottom w:val="nil"/>
                  </w:tcBorders>
                  <w:shd w:val="clear" w:color="auto" w:fill="auto"/>
                  <w:hideMark/>
                </w:tcPr>
                <w:p w:rsidR="00AE2835" w:rsidRPr="0090009A" w:rsidRDefault="00AE2835" w:rsidP="0090009A">
                  <w:pPr>
                    <w:pStyle w:val="TableText"/>
                    <w:jc w:val="center"/>
                    <w:rPr>
                      <w:sz w:val="17"/>
                      <w:szCs w:val="17"/>
                    </w:rPr>
                  </w:pPr>
                  <w:r w:rsidRPr="0090009A">
                    <w:rPr>
                      <w:sz w:val="17"/>
                      <w:szCs w:val="17"/>
                    </w:rPr>
                    <w:t>5</w:t>
                  </w:r>
                  <w:r w:rsidRPr="0090009A">
                    <w:rPr>
                      <w:sz w:val="17"/>
                      <w:szCs w:val="17"/>
                    </w:rPr>
                    <w:br/>
                    <w:t>(2%)</w:t>
                  </w:r>
                </w:p>
              </w:tc>
              <w:tc>
                <w:tcPr>
                  <w:tcW w:w="500" w:type="pct"/>
                  <w:tcBorders>
                    <w:bottom w:val="nil"/>
                  </w:tcBorders>
                  <w:shd w:val="clear" w:color="auto" w:fill="auto"/>
                  <w:hideMark/>
                </w:tcPr>
                <w:p w:rsidR="00AE2835" w:rsidRPr="0090009A" w:rsidRDefault="00AE2835" w:rsidP="0090009A">
                  <w:pPr>
                    <w:pStyle w:val="TableText"/>
                    <w:jc w:val="center"/>
                    <w:rPr>
                      <w:sz w:val="17"/>
                      <w:szCs w:val="17"/>
                    </w:rPr>
                  </w:pPr>
                  <w:r w:rsidRPr="0090009A">
                    <w:rPr>
                      <w:sz w:val="17"/>
                      <w:szCs w:val="17"/>
                    </w:rPr>
                    <w:t>2</w:t>
                  </w:r>
                  <w:r w:rsidRPr="0090009A">
                    <w:rPr>
                      <w:sz w:val="17"/>
                      <w:szCs w:val="17"/>
                    </w:rPr>
                    <w:br/>
                    <w:t>(1%)</w:t>
                  </w:r>
                </w:p>
              </w:tc>
              <w:tc>
                <w:tcPr>
                  <w:tcW w:w="512" w:type="pct"/>
                  <w:tcBorders>
                    <w:bottom w:val="nil"/>
                  </w:tcBorders>
                  <w:shd w:val="clear" w:color="auto" w:fill="auto"/>
                  <w:hideMark/>
                </w:tcPr>
                <w:p w:rsidR="00AE2835" w:rsidRPr="0090009A" w:rsidRDefault="00AE2835" w:rsidP="0090009A">
                  <w:pPr>
                    <w:pStyle w:val="TableText"/>
                    <w:jc w:val="center"/>
                    <w:rPr>
                      <w:sz w:val="17"/>
                      <w:szCs w:val="17"/>
                    </w:rPr>
                  </w:pPr>
                  <w:r w:rsidRPr="0090009A">
                    <w:rPr>
                      <w:sz w:val="17"/>
                      <w:szCs w:val="17"/>
                    </w:rPr>
                    <w:t>72</w:t>
                  </w:r>
                  <w:r w:rsidRPr="0090009A">
                    <w:rPr>
                      <w:sz w:val="17"/>
                      <w:szCs w:val="17"/>
                    </w:rPr>
                    <w:br/>
                    <w:t>(34%)</w:t>
                  </w:r>
                </w:p>
              </w:tc>
              <w:tc>
                <w:tcPr>
                  <w:tcW w:w="509" w:type="pct"/>
                  <w:tcBorders>
                    <w:bottom w:val="nil"/>
                  </w:tcBorders>
                  <w:shd w:val="clear" w:color="auto" w:fill="auto"/>
                  <w:hideMark/>
                </w:tcPr>
                <w:p w:rsidR="00AE2835" w:rsidRPr="0090009A" w:rsidRDefault="00AE2835" w:rsidP="0090009A">
                  <w:pPr>
                    <w:pStyle w:val="TableText"/>
                    <w:jc w:val="center"/>
                    <w:rPr>
                      <w:sz w:val="17"/>
                      <w:szCs w:val="17"/>
                    </w:rPr>
                  </w:pPr>
                  <w:r w:rsidRPr="0090009A">
                    <w:rPr>
                      <w:sz w:val="17"/>
                      <w:szCs w:val="17"/>
                    </w:rPr>
                    <w:t>213</w:t>
                  </w:r>
                  <w:r w:rsidRPr="0090009A">
                    <w:rPr>
                      <w:sz w:val="17"/>
                      <w:szCs w:val="17"/>
                    </w:rPr>
                    <w:br/>
                    <w:t>(100%)</w:t>
                  </w:r>
                </w:p>
              </w:tc>
            </w:tr>
            <w:tr w:rsidR="00086570" w:rsidRPr="003E7106" w:rsidTr="007C56CE">
              <w:trPr>
                <w:cantSplit/>
              </w:trPr>
              <w:tc>
                <w:tcPr>
                  <w:tcW w:w="610" w:type="pct"/>
                  <w:tcBorders>
                    <w:top w:val="nil"/>
                    <w:bottom w:val="nil"/>
                  </w:tcBorders>
                  <w:shd w:val="clear" w:color="auto" w:fill="auto"/>
                  <w:hideMark/>
                </w:tcPr>
                <w:p w:rsidR="00AE2835" w:rsidRPr="0090009A" w:rsidRDefault="00AE2835" w:rsidP="00086570">
                  <w:pPr>
                    <w:pStyle w:val="TableText"/>
                    <w:spacing w:before="0"/>
                    <w:rPr>
                      <w:sz w:val="17"/>
                      <w:szCs w:val="17"/>
                    </w:rPr>
                  </w:pPr>
                  <w:r w:rsidRPr="0090009A">
                    <w:rPr>
                      <w:sz w:val="17"/>
                      <w:szCs w:val="17"/>
                    </w:rPr>
                    <w:t>51−100</w:t>
                  </w:r>
                </w:p>
              </w:tc>
              <w:tc>
                <w:tcPr>
                  <w:tcW w:w="490" w:type="pct"/>
                  <w:tcBorders>
                    <w:top w:val="nil"/>
                    <w:bottom w:val="nil"/>
                  </w:tcBorders>
                  <w:shd w:val="clear" w:color="auto" w:fill="auto"/>
                  <w:hideMark/>
                </w:tcPr>
                <w:p w:rsidR="00AE2835" w:rsidRPr="0090009A" w:rsidRDefault="00AE2835" w:rsidP="0090009A">
                  <w:pPr>
                    <w:pStyle w:val="TableText"/>
                    <w:spacing w:before="0"/>
                    <w:jc w:val="center"/>
                    <w:rPr>
                      <w:sz w:val="17"/>
                      <w:szCs w:val="17"/>
                    </w:rPr>
                  </w:pPr>
                  <w:r w:rsidRPr="0090009A">
                    <w:rPr>
                      <w:sz w:val="17"/>
                      <w:szCs w:val="17"/>
                    </w:rPr>
                    <w:t>36</w:t>
                  </w:r>
                  <w:r w:rsidRPr="0090009A">
                    <w:rPr>
                      <w:sz w:val="17"/>
                      <w:szCs w:val="17"/>
                    </w:rPr>
                    <w:br/>
                    <w:t>(7%)</w:t>
                  </w:r>
                </w:p>
              </w:tc>
              <w:tc>
                <w:tcPr>
                  <w:tcW w:w="511" w:type="pct"/>
                  <w:tcBorders>
                    <w:top w:val="nil"/>
                    <w:bottom w:val="nil"/>
                  </w:tcBorders>
                  <w:shd w:val="clear" w:color="auto" w:fill="auto"/>
                  <w:hideMark/>
                </w:tcPr>
                <w:p w:rsidR="00AE2835" w:rsidRPr="0090009A" w:rsidRDefault="00AE2835" w:rsidP="0090009A">
                  <w:pPr>
                    <w:pStyle w:val="TableText"/>
                    <w:spacing w:before="0"/>
                    <w:jc w:val="center"/>
                    <w:rPr>
                      <w:sz w:val="17"/>
                      <w:szCs w:val="17"/>
                    </w:rPr>
                  </w:pPr>
                  <w:r w:rsidRPr="0090009A">
                    <w:rPr>
                      <w:sz w:val="17"/>
                      <w:szCs w:val="17"/>
                    </w:rPr>
                    <w:t>269</w:t>
                  </w:r>
                  <w:r w:rsidR="00086570" w:rsidRPr="0090009A">
                    <w:rPr>
                      <w:sz w:val="17"/>
                      <w:szCs w:val="17"/>
                    </w:rPr>
                    <w:br/>
                  </w:r>
                  <w:r w:rsidRPr="0090009A">
                    <w:rPr>
                      <w:sz w:val="17"/>
                      <w:szCs w:val="17"/>
                    </w:rPr>
                    <w:t>(54%)</w:t>
                  </w:r>
                </w:p>
              </w:tc>
              <w:tc>
                <w:tcPr>
                  <w:tcW w:w="603" w:type="pct"/>
                  <w:tcBorders>
                    <w:top w:val="nil"/>
                    <w:bottom w:val="nil"/>
                  </w:tcBorders>
                  <w:shd w:val="clear" w:color="auto" w:fill="auto"/>
                  <w:hideMark/>
                </w:tcPr>
                <w:p w:rsidR="00AE2835" w:rsidRPr="0090009A" w:rsidRDefault="00AE2835" w:rsidP="0090009A">
                  <w:pPr>
                    <w:pStyle w:val="TableText"/>
                    <w:spacing w:before="0"/>
                    <w:jc w:val="center"/>
                    <w:rPr>
                      <w:sz w:val="17"/>
                      <w:szCs w:val="17"/>
                    </w:rPr>
                  </w:pPr>
                  <w:r w:rsidRPr="0090009A">
                    <w:rPr>
                      <w:sz w:val="17"/>
                      <w:szCs w:val="17"/>
                    </w:rPr>
                    <w:t>78</w:t>
                  </w:r>
                  <w:r w:rsidR="00086570" w:rsidRPr="0090009A">
                    <w:rPr>
                      <w:sz w:val="17"/>
                      <w:szCs w:val="17"/>
                    </w:rPr>
                    <w:br/>
                  </w:r>
                  <w:r w:rsidRPr="0090009A">
                    <w:rPr>
                      <w:sz w:val="17"/>
                      <w:szCs w:val="17"/>
                    </w:rPr>
                    <w:t>(16%)</w:t>
                  </w:r>
                </w:p>
              </w:tc>
              <w:tc>
                <w:tcPr>
                  <w:tcW w:w="601" w:type="pct"/>
                  <w:tcBorders>
                    <w:top w:val="nil"/>
                    <w:bottom w:val="nil"/>
                  </w:tcBorders>
                  <w:shd w:val="clear" w:color="auto" w:fill="auto"/>
                  <w:hideMark/>
                </w:tcPr>
                <w:p w:rsidR="00AE2835" w:rsidRPr="0090009A" w:rsidRDefault="00AE2835" w:rsidP="0090009A">
                  <w:pPr>
                    <w:pStyle w:val="TableText"/>
                    <w:spacing w:before="0"/>
                    <w:jc w:val="center"/>
                    <w:rPr>
                      <w:sz w:val="17"/>
                      <w:szCs w:val="17"/>
                    </w:rPr>
                  </w:pPr>
                  <w:r w:rsidRPr="0090009A">
                    <w:rPr>
                      <w:sz w:val="17"/>
                      <w:szCs w:val="17"/>
                    </w:rPr>
                    <w:t>89</w:t>
                  </w:r>
                  <w:r w:rsidR="00086570" w:rsidRPr="0090009A">
                    <w:rPr>
                      <w:sz w:val="17"/>
                      <w:szCs w:val="17"/>
                    </w:rPr>
                    <w:br/>
                  </w:r>
                  <w:r w:rsidRPr="0090009A">
                    <w:rPr>
                      <w:sz w:val="17"/>
                      <w:szCs w:val="17"/>
                    </w:rPr>
                    <w:t>(18%</w:t>
                  </w:r>
                </w:p>
              </w:tc>
              <w:tc>
                <w:tcPr>
                  <w:tcW w:w="664" w:type="pct"/>
                  <w:tcBorders>
                    <w:top w:val="nil"/>
                    <w:bottom w:val="nil"/>
                  </w:tcBorders>
                  <w:shd w:val="clear" w:color="auto" w:fill="auto"/>
                  <w:hideMark/>
                </w:tcPr>
                <w:p w:rsidR="00AE2835" w:rsidRPr="0090009A" w:rsidRDefault="00AE2835" w:rsidP="0090009A">
                  <w:pPr>
                    <w:pStyle w:val="TableText"/>
                    <w:spacing w:before="0"/>
                    <w:jc w:val="center"/>
                    <w:rPr>
                      <w:sz w:val="17"/>
                      <w:szCs w:val="17"/>
                    </w:rPr>
                  </w:pPr>
                  <w:r w:rsidRPr="0090009A">
                    <w:rPr>
                      <w:sz w:val="17"/>
                      <w:szCs w:val="17"/>
                    </w:rPr>
                    <w:t>11</w:t>
                  </w:r>
                  <w:r w:rsidR="00086570" w:rsidRPr="0090009A">
                    <w:rPr>
                      <w:sz w:val="17"/>
                      <w:szCs w:val="17"/>
                    </w:rPr>
                    <w:br/>
                  </w:r>
                  <w:r w:rsidRPr="0090009A">
                    <w:rPr>
                      <w:sz w:val="17"/>
                      <w:szCs w:val="17"/>
                    </w:rPr>
                    <w:t>(2%)</w:t>
                  </w:r>
                </w:p>
              </w:tc>
              <w:tc>
                <w:tcPr>
                  <w:tcW w:w="500" w:type="pct"/>
                  <w:tcBorders>
                    <w:top w:val="nil"/>
                    <w:bottom w:val="nil"/>
                  </w:tcBorders>
                  <w:shd w:val="clear" w:color="auto" w:fill="auto"/>
                  <w:hideMark/>
                </w:tcPr>
                <w:p w:rsidR="00AE2835" w:rsidRPr="0090009A" w:rsidRDefault="00AE2835" w:rsidP="0090009A">
                  <w:pPr>
                    <w:pStyle w:val="TableText"/>
                    <w:spacing w:before="0"/>
                    <w:jc w:val="center"/>
                    <w:rPr>
                      <w:sz w:val="17"/>
                      <w:szCs w:val="17"/>
                    </w:rPr>
                  </w:pPr>
                  <w:r w:rsidRPr="0090009A">
                    <w:rPr>
                      <w:sz w:val="17"/>
                      <w:szCs w:val="17"/>
                    </w:rPr>
                    <w:t>8</w:t>
                  </w:r>
                  <w:r w:rsidR="00086570" w:rsidRPr="0090009A">
                    <w:rPr>
                      <w:sz w:val="17"/>
                      <w:szCs w:val="17"/>
                    </w:rPr>
                    <w:br/>
                  </w:r>
                  <w:r w:rsidRPr="0090009A">
                    <w:rPr>
                      <w:sz w:val="17"/>
                      <w:szCs w:val="17"/>
                    </w:rPr>
                    <w:t>(2%)</w:t>
                  </w:r>
                </w:p>
              </w:tc>
              <w:tc>
                <w:tcPr>
                  <w:tcW w:w="512" w:type="pct"/>
                  <w:tcBorders>
                    <w:top w:val="nil"/>
                    <w:bottom w:val="nil"/>
                  </w:tcBorders>
                  <w:shd w:val="clear" w:color="auto" w:fill="auto"/>
                  <w:hideMark/>
                </w:tcPr>
                <w:p w:rsidR="00AE2835" w:rsidRPr="0090009A" w:rsidRDefault="00AE2835" w:rsidP="0090009A">
                  <w:pPr>
                    <w:pStyle w:val="TableText"/>
                    <w:spacing w:before="0"/>
                    <w:jc w:val="center"/>
                    <w:rPr>
                      <w:sz w:val="17"/>
                      <w:szCs w:val="17"/>
                    </w:rPr>
                  </w:pPr>
                  <w:r w:rsidRPr="0090009A">
                    <w:rPr>
                      <w:sz w:val="17"/>
                      <w:szCs w:val="17"/>
                    </w:rPr>
                    <w:t>5</w:t>
                  </w:r>
                  <w:r w:rsidRPr="0090009A">
                    <w:rPr>
                      <w:sz w:val="17"/>
                      <w:szCs w:val="17"/>
                    </w:rPr>
                    <w:br/>
                    <w:t>(1%)</w:t>
                  </w:r>
                </w:p>
              </w:tc>
              <w:tc>
                <w:tcPr>
                  <w:tcW w:w="509" w:type="pct"/>
                  <w:tcBorders>
                    <w:top w:val="nil"/>
                    <w:bottom w:val="nil"/>
                  </w:tcBorders>
                  <w:shd w:val="clear" w:color="auto" w:fill="auto"/>
                  <w:hideMark/>
                </w:tcPr>
                <w:p w:rsidR="00AE2835" w:rsidRPr="0090009A" w:rsidRDefault="00AE2835" w:rsidP="0090009A">
                  <w:pPr>
                    <w:pStyle w:val="TableText"/>
                    <w:spacing w:before="0"/>
                    <w:jc w:val="center"/>
                    <w:rPr>
                      <w:sz w:val="17"/>
                      <w:szCs w:val="17"/>
                    </w:rPr>
                  </w:pPr>
                  <w:r w:rsidRPr="0090009A">
                    <w:rPr>
                      <w:sz w:val="17"/>
                      <w:szCs w:val="17"/>
                    </w:rPr>
                    <w:t>496</w:t>
                  </w:r>
                  <w:r w:rsidRPr="0090009A">
                    <w:rPr>
                      <w:sz w:val="17"/>
                      <w:szCs w:val="17"/>
                    </w:rPr>
                    <w:br/>
                    <w:t>(100%)</w:t>
                  </w:r>
                </w:p>
              </w:tc>
            </w:tr>
            <w:tr w:rsidR="00086570" w:rsidRPr="003E7106" w:rsidTr="007C56CE">
              <w:trPr>
                <w:cantSplit/>
              </w:trPr>
              <w:tc>
                <w:tcPr>
                  <w:tcW w:w="610" w:type="pct"/>
                  <w:tcBorders>
                    <w:top w:val="nil"/>
                    <w:bottom w:val="nil"/>
                  </w:tcBorders>
                  <w:shd w:val="clear" w:color="auto" w:fill="auto"/>
                  <w:hideMark/>
                </w:tcPr>
                <w:p w:rsidR="00AE2835" w:rsidRPr="0090009A" w:rsidRDefault="00AE2835" w:rsidP="00086570">
                  <w:pPr>
                    <w:pStyle w:val="TableText"/>
                    <w:spacing w:before="0"/>
                    <w:rPr>
                      <w:sz w:val="17"/>
                      <w:szCs w:val="17"/>
                    </w:rPr>
                  </w:pPr>
                  <w:r w:rsidRPr="0090009A">
                    <w:rPr>
                      <w:sz w:val="17"/>
                      <w:szCs w:val="17"/>
                    </w:rPr>
                    <w:t>101−200</w:t>
                  </w:r>
                </w:p>
              </w:tc>
              <w:tc>
                <w:tcPr>
                  <w:tcW w:w="490" w:type="pct"/>
                  <w:tcBorders>
                    <w:top w:val="nil"/>
                    <w:bottom w:val="nil"/>
                  </w:tcBorders>
                  <w:shd w:val="clear" w:color="auto" w:fill="auto"/>
                  <w:hideMark/>
                </w:tcPr>
                <w:p w:rsidR="00AE2835" w:rsidRPr="0090009A" w:rsidRDefault="00AE2835" w:rsidP="0090009A">
                  <w:pPr>
                    <w:pStyle w:val="TableText"/>
                    <w:spacing w:before="0"/>
                    <w:jc w:val="center"/>
                    <w:rPr>
                      <w:sz w:val="17"/>
                      <w:szCs w:val="17"/>
                    </w:rPr>
                  </w:pPr>
                  <w:r w:rsidRPr="0090009A">
                    <w:rPr>
                      <w:sz w:val="17"/>
                      <w:szCs w:val="17"/>
                    </w:rPr>
                    <w:t>108</w:t>
                  </w:r>
                  <w:r w:rsidRPr="0090009A">
                    <w:rPr>
                      <w:sz w:val="17"/>
                      <w:szCs w:val="17"/>
                    </w:rPr>
                    <w:br/>
                    <w:t>(14%)</w:t>
                  </w:r>
                </w:p>
              </w:tc>
              <w:tc>
                <w:tcPr>
                  <w:tcW w:w="511" w:type="pct"/>
                  <w:tcBorders>
                    <w:top w:val="nil"/>
                    <w:bottom w:val="nil"/>
                  </w:tcBorders>
                  <w:shd w:val="clear" w:color="auto" w:fill="auto"/>
                  <w:hideMark/>
                </w:tcPr>
                <w:p w:rsidR="00AE2835" w:rsidRPr="0090009A" w:rsidRDefault="00AE2835" w:rsidP="0090009A">
                  <w:pPr>
                    <w:pStyle w:val="TableText"/>
                    <w:spacing w:before="0"/>
                    <w:jc w:val="center"/>
                    <w:rPr>
                      <w:sz w:val="17"/>
                      <w:szCs w:val="17"/>
                    </w:rPr>
                  </w:pPr>
                  <w:r w:rsidRPr="0090009A">
                    <w:rPr>
                      <w:sz w:val="17"/>
                      <w:szCs w:val="17"/>
                    </w:rPr>
                    <w:t>100</w:t>
                  </w:r>
                  <w:r w:rsidRPr="0090009A">
                    <w:rPr>
                      <w:sz w:val="17"/>
                      <w:szCs w:val="17"/>
                    </w:rPr>
                    <w:br/>
                    <w:t>(13%)</w:t>
                  </w:r>
                </w:p>
              </w:tc>
              <w:tc>
                <w:tcPr>
                  <w:tcW w:w="603" w:type="pct"/>
                  <w:tcBorders>
                    <w:top w:val="nil"/>
                    <w:bottom w:val="nil"/>
                  </w:tcBorders>
                  <w:shd w:val="clear" w:color="auto" w:fill="auto"/>
                  <w:hideMark/>
                </w:tcPr>
                <w:p w:rsidR="00AE2835" w:rsidRPr="0090009A" w:rsidRDefault="00AE2835" w:rsidP="0090009A">
                  <w:pPr>
                    <w:pStyle w:val="TableText"/>
                    <w:spacing w:before="0"/>
                    <w:jc w:val="center"/>
                    <w:rPr>
                      <w:sz w:val="17"/>
                      <w:szCs w:val="17"/>
                    </w:rPr>
                  </w:pPr>
                  <w:r w:rsidRPr="0090009A">
                    <w:rPr>
                      <w:sz w:val="17"/>
                      <w:szCs w:val="17"/>
                    </w:rPr>
                    <w:t>272</w:t>
                  </w:r>
                  <w:r w:rsidR="00086570" w:rsidRPr="0090009A">
                    <w:rPr>
                      <w:sz w:val="17"/>
                      <w:szCs w:val="17"/>
                    </w:rPr>
                    <w:br/>
                  </w:r>
                  <w:r w:rsidRPr="0090009A">
                    <w:rPr>
                      <w:sz w:val="17"/>
                      <w:szCs w:val="17"/>
                    </w:rPr>
                    <w:t>(35%)</w:t>
                  </w:r>
                </w:p>
              </w:tc>
              <w:tc>
                <w:tcPr>
                  <w:tcW w:w="601" w:type="pct"/>
                  <w:tcBorders>
                    <w:top w:val="nil"/>
                    <w:bottom w:val="nil"/>
                  </w:tcBorders>
                  <w:shd w:val="clear" w:color="auto" w:fill="auto"/>
                  <w:hideMark/>
                </w:tcPr>
                <w:p w:rsidR="00AE2835" w:rsidRPr="0090009A" w:rsidRDefault="00AE2835" w:rsidP="0090009A">
                  <w:pPr>
                    <w:pStyle w:val="TableText"/>
                    <w:spacing w:before="0"/>
                    <w:jc w:val="center"/>
                    <w:rPr>
                      <w:sz w:val="17"/>
                      <w:szCs w:val="17"/>
                    </w:rPr>
                  </w:pPr>
                  <w:r w:rsidRPr="0090009A">
                    <w:rPr>
                      <w:sz w:val="17"/>
                      <w:szCs w:val="17"/>
                    </w:rPr>
                    <w:t>266</w:t>
                  </w:r>
                  <w:r w:rsidR="00086570" w:rsidRPr="0090009A">
                    <w:rPr>
                      <w:sz w:val="17"/>
                      <w:szCs w:val="17"/>
                    </w:rPr>
                    <w:br/>
                  </w:r>
                  <w:r w:rsidRPr="0090009A">
                    <w:rPr>
                      <w:sz w:val="17"/>
                      <w:szCs w:val="17"/>
                    </w:rPr>
                    <w:t>(34%)</w:t>
                  </w:r>
                </w:p>
              </w:tc>
              <w:tc>
                <w:tcPr>
                  <w:tcW w:w="664" w:type="pct"/>
                  <w:tcBorders>
                    <w:top w:val="nil"/>
                    <w:bottom w:val="nil"/>
                  </w:tcBorders>
                  <w:shd w:val="clear" w:color="auto" w:fill="auto"/>
                  <w:hideMark/>
                </w:tcPr>
                <w:p w:rsidR="00AE2835" w:rsidRPr="0090009A" w:rsidRDefault="00AE2835" w:rsidP="0090009A">
                  <w:pPr>
                    <w:pStyle w:val="TableText"/>
                    <w:spacing w:before="0"/>
                    <w:jc w:val="center"/>
                    <w:rPr>
                      <w:sz w:val="17"/>
                      <w:szCs w:val="17"/>
                    </w:rPr>
                  </w:pPr>
                  <w:r w:rsidRPr="0090009A">
                    <w:rPr>
                      <w:sz w:val="17"/>
                      <w:szCs w:val="17"/>
                    </w:rPr>
                    <w:t>19</w:t>
                  </w:r>
                  <w:r w:rsidR="00086570" w:rsidRPr="0090009A">
                    <w:rPr>
                      <w:sz w:val="17"/>
                      <w:szCs w:val="17"/>
                    </w:rPr>
                    <w:br/>
                  </w:r>
                  <w:r w:rsidRPr="0090009A">
                    <w:rPr>
                      <w:sz w:val="17"/>
                      <w:szCs w:val="17"/>
                    </w:rPr>
                    <w:t>(2%)</w:t>
                  </w:r>
                </w:p>
              </w:tc>
              <w:tc>
                <w:tcPr>
                  <w:tcW w:w="500" w:type="pct"/>
                  <w:tcBorders>
                    <w:top w:val="nil"/>
                    <w:bottom w:val="nil"/>
                  </w:tcBorders>
                  <w:shd w:val="clear" w:color="auto" w:fill="auto"/>
                  <w:hideMark/>
                </w:tcPr>
                <w:p w:rsidR="00AE2835" w:rsidRPr="0090009A" w:rsidRDefault="00AE2835" w:rsidP="0090009A">
                  <w:pPr>
                    <w:pStyle w:val="TableText"/>
                    <w:spacing w:before="0"/>
                    <w:jc w:val="center"/>
                    <w:rPr>
                      <w:sz w:val="17"/>
                      <w:szCs w:val="17"/>
                    </w:rPr>
                  </w:pPr>
                  <w:r w:rsidRPr="0090009A">
                    <w:rPr>
                      <w:sz w:val="17"/>
                      <w:szCs w:val="17"/>
                    </w:rPr>
                    <w:t>16</w:t>
                  </w:r>
                  <w:r w:rsidR="00086570" w:rsidRPr="0090009A">
                    <w:rPr>
                      <w:sz w:val="17"/>
                      <w:szCs w:val="17"/>
                    </w:rPr>
                    <w:br/>
                  </w:r>
                  <w:r w:rsidRPr="0090009A">
                    <w:rPr>
                      <w:sz w:val="17"/>
                      <w:szCs w:val="17"/>
                    </w:rPr>
                    <w:t>(2%)</w:t>
                  </w:r>
                </w:p>
              </w:tc>
              <w:tc>
                <w:tcPr>
                  <w:tcW w:w="512" w:type="pct"/>
                  <w:tcBorders>
                    <w:top w:val="nil"/>
                    <w:bottom w:val="nil"/>
                  </w:tcBorders>
                  <w:shd w:val="clear" w:color="auto" w:fill="auto"/>
                  <w:hideMark/>
                </w:tcPr>
                <w:p w:rsidR="00AE2835" w:rsidRPr="0090009A" w:rsidRDefault="00AE2835" w:rsidP="0090009A">
                  <w:pPr>
                    <w:pStyle w:val="TableText"/>
                    <w:spacing w:before="0"/>
                    <w:jc w:val="center"/>
                    <w:rPr>
                      <w:sz w:val="17"/>
                      <w:szCs w:val="17"/>
                    </w:rPr>
                  </w:pPr>
                  <w:r w:rsidRPr="0090009A">
                    <w:rPr>
                      <w:sz w:val="17"/>
                      <w:szCs w:val="17"/>
                    </w:rPr>
                    <w:t>2</w:t>
                  </w:r>
                  <w:r w:rsidR="00086570" w:rsidRPr="0090009A">
                    <w:rPr>
                      <w:sz w:val="17"/>
                      <w:szCs w:val="17"/>
                    </w:rPr>
                    <w:br/>
                  </w:r>
                  <w:r w:rsidRPr="0090009A">
                    <w:rPr>
                      <w:sz w:val="17"/>
                      <w:szCs w:val="17"/>
                    </w:rPr>
                    <w:t>(0%)</w:t>
                  </w:r>
                </w:p>
              </w:tc>
              <w:tc>
                <w:tcPr>
                  <w:tcW w:w="509" w:type="pct"/>
                  <w:tcBorders>
                    <w:top w:val="nil"/>
                    <w:bottom w:val="nil"/>
                  </w:tcBorders>
                  <w:shd w:val="clear" w:color="auto" w:fill="auto"/>
                  <w:hideMark/>
                </w:tcPr>
                <w:p w:rsidR="00AE2835" w:rsidRPr="0090009A" w:rsidRDefault="00AE2835" w:rsidP="0090009A">
                  <w:pPr>
                    <w:pStyle w:val="TableText"/>
                    <w:spacing w:before="0"/>
                    <w:jc w:val="center"/>
                    <w:rPr>
                      <w:sz w:val="17"/>
                      <w:szCs w:val="17"/>
                    </w:rPr>
                  </w:pPr>
                  <w:r w:rsidRPr="0090009A">
                    <w:rPr>
                      <w:sz w:val="17"/>
                      <w:szCs w:val="17"/>
                    </w:rPr>
                    <w:t>783</w:t>
                  </w:r>
                  <w:r w:rsidRPr="0090009A">
                    <w:rPr>
                      <w:sz w:val="17"/>
                      <w:szCs w:val="17"/>
                    </w:rPr>
                    <w:br/>
                    <w:t>(100%</w:t>
                  </w:r>
                </w:p>
              </w:tc>
            </w:tr>
            <w:tr w:rsidR="00086570" w:rsidRPr="003E7106" w:rsidTr="007C56CE">
              <w:trPr>
                <w:cantSplit/>
              </w:trPr>
              <w:tc>
                <w:tcPr>
                  <w:tcW w:w="610" w:type="pct"/>
                  <w:tcBorders>
                    <w:top w:val="nil"/>
                    <w:bottom w:val="nil"/>
                  </w:tcBorders>
                  <w:shd w:val="clear" w:color="auto" w:fill="auto"/>
                  <w:hideMark/>
                </w:tcPr>
                <w:p w:rsidR="00AE2835" w:rsidRPr="0090009A" w:rsidRDefault="00AE2835" w:rsidP="00086570">
                  <w:pPr>
                    <w:pStyle w:val="TableText"/>
                    <w:spacing w:before="0"/>
                    <w:rPr>
                      <w:sz w:val="17"/>
                      <w:szCs w:val="17"/>
                    </w:rPr>
                  </w:pPr>
                  <w:r w:rsidRPr="0090009A">
                    <w:rPr>
                      <w:sz w:val="17"/>
                      <w:szCs w:val="17"/>
                    </w:rPr>
                    <w:t>201−300</w:t>
                  </w:r>
                </w:p>
              </w:tc>
              <w:tc>
                <w:tcPr>
                  <w:tcW w:w="490" w:type="pct"/>
                  <w:tcBorders>
                    <w:top w:val="nil"/>
                    <w:bottom w:val="nil"/>
                  </w:tcBorders>
                  <w:shd w:val="clear" w:color="auto" w:fill="auto"/>
                  <w:hideMark/>
                </w:tcPr>
                <w:p w:rsidR="00AE2835" w:rsidRPr="0090009A" w:rsidRDefault="00AE2835" w:rsidP="0090009A">
                  <w:pPr>
                    <w:pStyle w:val="TableText"/>
                    <w:spacing w:before="0"/>
                    <w:jc w:val="center"/>
                    <w:rPr>
                      <w:sz w:val="17"/>
                      <w:szCs w:val="17"/>
                    </w:rPr>
                  </w:pPr>
                  <w:r w:rsidRPr="0090009A">
                    <w:rPr>
                      <w:sz w:val="17"/>
                      <w:szCs w:val="17"/>
                    </w:rPr>
                    <w:t>134</w:t>
                  </w:r>
                  <w:r w:rsidRPr="0090009A">
                    <w:rPr>
                      <w:sz w:val="17"/>
                      <w:szCs w:val="17"/>
                    </w:rPr>
                    <w:br/>
                    <w:t>(25%)</w:t>
                  </w:r>
                </w:p>
              </w:tc>
              <w:tc>
                <w:tcPr>
                  <w:tcW w:w="511" w:type="pct"/>
                  <w:tcBorders>
                    <w:top w:val="nil"/>
                    <w:bottom w:val="nil"/>
                  </w:tcBorders>
                  <w:shd w:val="clear" w:color="auto" w:fill="auto"/>
                  <w:hideMark/>
                </w:tcPr>
                <w:p w:rsidR="00AE2835" w:rsidRPr="0090009A" w:rsidRDefault="00AE2835" w:rsidP="0090009A">
                  <w:pPr>
                    <w:pStyle w:val="TableText"/>
                    <w:spacing w:before="0"/>
                    <w:jc w:val="center"/>
                    <w:rPr>
                      <w:sz w:val="17"/>
                      <w:szCs w:val="17"/>
                    </w:rPr>
                  </w:pPr>
                  <w:r w:rsidRPr="0090009A">
                    <w:rPr>
                      <w:sz w:val="17"/>
                      <w:szCs w:val="17"/>
                    </w:rPr>
                    <w:t>132</w:t>
                  </w:r>
                  <w:r w:rsidR="00086570" w:rsidRPr="0090009A">
                    <w:rPr>
                      <w:sz w:val="17"/>
                      <w:szCs w:val="17"/>
                    </w:rPr>
                    <w:br/>
                  </w:r>
                  <w:r w:rsidRPr="0090009A">
                    <w:rPr>
                      <w:sz w:val="17"/>
                      <w:szCs w:val="17"/>
                    </w:rPr>
                    <w:t>(24%)</w:t>
                  </w:r>
                </w:p>
              </w:tc>
              <w:tc>
                <w:tcPr>
                  <w:tcW w:w="603" w:type="pct"/>
                  <w:tcBorders>
                    <w:top w:val="nil"/>
                    <w:bottom w:val="nil"/>
                  </w:tcBorders>
                  <w:shd w:val="clear" w:color="auto" w:fill="auto"/>
                  <w:hideMark/>
                </w:tcPr>
                <w:p w:rsidR="00AE2835" w:rsidRPr="0090009A" w:rsidRDefault="00AE2835" w:rsidP="0090009A">
                  <w:pPr>
                    <w:pStyle w:val="TableText"/>
                    <w:spacing w:before="0"/>
                    <w:jc w:val="center"/>
                    <w:rPr>
                      <w:sz w:val="17"/>
                      <w:szCs w:val="17"/>
                    </w:rPr>
                  </w:pPr>
                  <w:r w:rsidRPr="0090009A">
                    <w:rPr>
                      <w:sz w:val="17"/>
                      <w:szCs w:val="17"/>
                    </w:rPr>
                    <w:t>92</w:t>
                  </w:r>
                  <w:r w:rsidR="00086570" w:rsidRPr="0090009A">
                    <w:rPr>
                      <w:sz w:val="17"/>
                      <w:szCs w:val="17"/>
                    </w:rPr>
                    <w:br/>
                  </w:r>
                  <w:r w:rsidRPr="0090009A">
                    <w:rPr>
                      <w:sz w:val="17"/>
                      <w:szCs w:val="17"/>
                    </w:rPr>
                    <w:t>(17%)</w:t>
                  </w:r>
                </w:p>
              </w:tc>
              <w:tc>
                <w:tcPr>
                  <w:tcW w:w="601" w:type="pct"/>
                  <w:tcBorders>
                    <w:top w:val="nil"/>
                    <w:bottom w:val="nil"/>
                  </w:tcBorders>
                  <w:shd w:val="clear" w:color="auto" w:fill="auto"/>
                  <w:hideMark/>
                </w:tcPr>
                <w:p w:rsidR="00AE2835" w:rsidRPr="0090009A" w:rsidRDefault="00AE2835" w:rsidP="0090009A">
                  <w:pPr>
                    <w:pStyle w:val="TableText"/>
                    <w:spacing w:before="0"/>
                    <w:jc w:val="center"/>
                    <w:rPr>
                      <w:sz w:val="17"/>
                      <w:szCs w:val="17"/>
                    </w:rPr>
                  </w:pPr>
                  <w:r w:rsidRPr="0090009A">
                    <w:rPr>
                      <w:sz w:val="17"/>
                      <w:szCs w:val="17"/>
                    </w:rPr>
                    <w:t>16</w:t>
                  </w:r>
                  <w:r w:rsidR="00086570" w:rsidRPr="0090009A">
                    <w:rPr>
                      <w:sz w:val="17"/>
                      <w:szCs w:val="17"/>
                    </w:rPr>
                    <w:br/>
                  </w:r>
                  <w:r w:rsidRPr="0090009A">
                    <w:rPr>
                      <w:sz w:val="17"/>
                      <w:szCs w:val="17"/>
                    </w:rPr>
                    <w:t>(3%)</w:t>
                  </w:r>
                </w:p>
              </w:tc>
              <w:tc>
                <w:tcPr>
                  <w:tcW w:w="664" w:type="pct"/>
                  <w:tcBorders>
                    <w:top w:val="nil"/>
                    <w:bottom w:val="nil"/>
                  </w:tcBorders>
                  <w:shd w:val="clear" w:color="auto" w:fill="auto"/>
                  <w:hideMark/>
                </w:tcPr>
                <w:p w:rsidR="00AE2835" w:rsidRPr="0090009A" w:rsidRDefault="00AE2835" w:rsidP="0090009A">
                  <w:pPr>
                    <w:pStyle w:val="TableText"/>
                    <w:spacing w:before="0"/>
                    <w:jc w:val="center"/>
                    <w:rPr>
                      <w:sz w:val="17"/>
                      <w:szCs w:val="17"/>
                    </w:rPr>
                  </w:pPr>
                  <w:r w:rsidRPr="0090009A">
                    <w:rPr>
                      <w:sz w:val="17"/>
                      <w:szCs w:val="17"/>
                    </w:rPr>
                    <w:t>1</w:t>
                  </w:r>
                  <w:r w:rsidR="00086570" w:rsidRPr="0090009A">
                    <w:rPr>
                      <w:sz w:val="17"/>
                      <w:szCs w:val="17"/>
                    </w:rPr>
                    <w:br/>
                  </w:r>
                  <w:r w:rsidRPr="0090009A">
                    <w:rPr>
                      <w:sz w:val="17"/>
                      <w:szCs w:val="17"/>
                    </w:rPr>
                    <w:t>(0%)</w:t>
                  </w:r>
                </w:p>
              </w:tc>
              <w:tc>
                <w:tcPr>
                  <w:tcW w:w="500" w:type="pct"/>
                  <w:tcBorders>
                    <w:top w:val="nil"/>
                    <w:bottom w:val="nil"/>
                  </w:tcBorders>
                  <w:shd w:val="clear" w:color="auto" w:fill="auto"/>
                  <w:hideMark/>
                </w:tcPr>
                <w:p w:rsidR="00AE2835" w:rsidRPr="0090009A" w:rsidRDefault="00AE2835" w:rsidP="0090009A">
                  <w:pPr>
                    <w:pStyle w:val="TableText"/>
                    <w:spacing w:before="0"/>
                    <w:jc w:val="center"/>
                    <w:rPr>
                      <w:sz w:val="17"/>
                      <w:szCs w:val="17"/>
                    </w:rPr>
                  </w:pPr>
                  <w:r w:rsidRPr="0090009A">
                    <w:rPr>
                      <w:sz w:val="17"/>
                      <w:szCs w:val="17"/>
                    </w:rPr>
                    <w:t>10</w:t>
                  </w:r>
                  <w:r w:rsidR="00086570" w:rsidRPr="0090009A">
                    <w:rPr>
                      <w:sz w:val="17"/>
                      <w:szCs w:val="17"/>
                    </w:rPr>
                    <w:br/>
                  </w:r>
                  <w:r w:rsidRPr="0090009A">
                    <w:rPr>
                      <w:sz w:val="17"/>
                      <w:szCs w:val="17"/>
                    </w:rPr>
                    <w:t>(2%)</w:t>
                  </w:r>
                </w:p>
              </w:tc>
              <w:tc>
                <w:tcPr>
                  <w:tcW w:w="512" w:type="pct"/>
                  <w:tcBorders>
                    <w:top w:val="nil"/>
                    <w:bottom w:val="nil"/>
                  </w:tcBorders>
                  <w:shd w:val="clear" w:color="auto" w:fill="auto"/>
                  <w:hideMark/>
                </w:tcPr>
                <w:p w:rsidR="00AE2835" w:rsidRPr="0090009A" w:rsidRDefault="00AE2835" w:rsidP="0090009A">
                  <w:pPr>
                    <w:pStyle w:val="TableText"/>
                    <w:spacing w:before="0"/>
                    <w:jc w:val="center"/>
                    <w:rPr>
                      <w:sz w:val="17"/>
                      <w:szCs w:val="17"/>
                    </w:rPr>
                  </w:pPr>
                  <w:r w:rsidRPr="0090009A">
                    <w:rPr>
                      <w:sz w:val="17"/>
                      <w:szCs w:val="17"/>
                    </w:rPr>
                    <w:t>154</w:t>
                  </w:r>
                  <w:r w:rsidR="00086570" w:rsidRPr="0090009A">
                    <w:rPr>
                      <w:sz w:val="17"/>
                      <w:szCs w:val="17"/>
                    </w:rPr>
                    <w:br/>
                  </w:r>
                  <w:r w:rsidRPr="0090009A">
                    <w:rPr>
                      <w:sz w:val="17"/>
                      <w:szCs w:val="17"/>
                    </w:rPr>
                    <w:t>(29%)</w:t>
                  </w:r>
                </w:p>
              </w:tc>
              <w:tc>
                <w:tcPr>
                  <w:tcW w:w="509" w:type="pct"/>
                  <w:tcBorders>
                    <w:top w:val="nil"/>
                    <w:bottom w:val="nil"/>
                  </w:tcBorders>
                  <w:shd w:val="clear" w:color="auto" w:fill="auto"/>
                  <w:hideMark/>
                </w:tcPr>
                <w:p w:rsidR="00AE2835" w:rsidRPr="0090009A" w:rsidRDefault="00AE2835" w:rsidP="0090009A">
                  <w:pPr>
                    <w:pStyle w:val="TableText"/>
                    <w:spacing w:before="0"/>
                    <w:jc w:val="center"/>
                    <w:rPr>
                      <w:sz w:val="17"/>
                      <w:szCs w:val="17"/>
                    </w:rPr>
                  </w:pPr>
                  <w:r w:rsidRPr="0090009A">
                    <w:rPr>
                      <w:sz w:val="17"/>
                      <w:szCs w:val="17"/>
                    </w:rPr>
                    <w:t>537</w:t>
                  </w:r>
                  <w:r w:rsidR="00086570" w:rsidRPr="0090009A">
                    <w:rPr>
                      <w:sz w:val="17"/>
                      <w:szCs w:val="17"/>
                    </w:rPr>
                    <w:br/>
                  </w:r>
                  <w:r w:rsidRPr="0090009A">
                    <w:rPr>
                      <w:sz w:val="17"/>
                      <w:szCs w:val="17"/>
                    </w:rPr>
                    <w:t>(100%)</w:t>
                  </w:r>
                </w:p>
              </w:tc>
            </w:tr>
            <w:tr w:rsidR="00086570" w:rsidRPr="003E7106" w:rsidTr="007C56CE">
              <w:trPr>
                <w:cantSplit/>
              </w:trPr>
              <w:tc>
                <w:tcPr>
                  <w:tcW w:w="610" w:type="pct"/>
                  <w:tcBorders>
                    <w:top w:val="nil"/>
                    <w:bottom w:val="nil"/>
                  </w:tcBorders>
                  <w:shd w:val="clear" w:color="auto" w:fill="auto"/>
                  <w:hideMark/>
                </w:tcPr>
                <w:p w:rsidR="00AE2835" w:rsidRPr="0090009A" w:rsidRDefault="00AE2835" w:rsidP="00086570">
                  <w:pPr>
                    <w:pStyle w:val="TableText"/>
                    <w:spacing w:before="0"/>
                    <w:rPr>
                      <w:sz w:val="17"/>
                      <w:szCs w:val="17"/>
                    </w:rPr>
                  </w:pPr>
                  <w:r w:rsidRPr="0090009A">
                    <w:rPr>
                      <w:sz w:val="17"/>
                      <w:szCs w:val="17"/>
                    </w:rPr>
                    <w:t>301−600</w:t>
                  </w:r>
                </w:p>
              </w:tc>
              <w:tc>
                <w:tcPr>
                  <w:tcW w:w="490" w:type="pct"/>
                  <w:tcBorders>
                    <w:top w:val="nil"/>
                    <w:bottom w:val="nil"/>
                  </w:tcBorders>
                  <w:shd w:val="clear" w:color="auto" w:fill="auto"/>
                  <w:hideMark/>
                </w:tcPr>
                <w:p w:rsidR="00AE2835" w:rsidRPr="0090009A" w:rsidRDefault="00AE2835" w:rsidP="0090009A">
                  <w:pPr>
                    <w:pStyle w:val="TableText"/>
                    <w:spacing w:before="0"/>
                    <w:jc w:val="center"/>
                    <w:rPr>
                      <w:sz w:val="17"/>
                      <w:szCs w:val="17"/>
                    </w:rPr>
                  </w:pPr>
                  <w:r w:rsidRPr="0090009A">
                    <w:rPr>
                      <w:sz w:val="17"/>
                      <w:szCs w:val="17"/>
                    </w:rPr>
                    <w:t>0</w:t>
                  </w:r>
                </w:p>
              </w:tc>
              <w:tc>
                <w:tcPr>
                  <w:tcW w:w="511" w:type="pct"/>
                  <w:tcBorders>
                    <w:top w:val="nil"/>
                    <w:bottom w:val="nil"/>
                  </w:tcBorders>
                  <w:shd w:val="clear" w:color="auto" w:fill="auto"/>
                  <w:hideMark/>
                </w:tcPr>
                <w:p w:rsidR="00AE2835" w:rsidRPr="0090009A" w:rsidRDefault="00AE2835" w:rsidP="0090009A">
                  <w:pPr>
                    <w:pStyle w:val="TableText"/>
                    <w:spacing w:before="0"/>
                    <w:jc w:val="center"/>
                    <w:rPr>
                      <w:sz w:val="17"/>
                      <w:szCs w:val="17"/>
                    </w:rPr>
                  </w:pPr>
                  <w:r w:rsidRPr="0090009A">
                    <w:rPr>
                      <w:sz w:val="17"/>
                      <w:szCs w:val="17"/>
                    </w:rPr>
                    <w:t>511</w:t>
                  </w:r>
                  <w:r w:rsidRPr="0090009A">
                    <w:rPr>
                      <w:sz w:val="17"/>
                      <w:szCs w:val="17"/>
                    </w:rPr>
                    <w:br/>
                    <w:t>(42%)</w:t>
                  </w:r>
                </w:p>
              </w:tc>
              <w:tc>
                <w:tcPr>
                  <w:tcW w:w="603" w:type="pct"/>
                  <w:tcBorders>
                    <w:top w:val="nil"/>
                    <w:bottom w:val="nil"/>
                  </w:tcBorders>
                  <w:shd w:val="clear" w:color="auto" w:fill="auto"/>
                  <w:hideMark/>
                </w:tcPr>
                <w:p w:rsidR="00AE2835" w:rsidRPr="0090009A" w:rsidRDefault="00AE2835" w:rsidP="0090009A">
                  <w:pPr>
                    <w:pStyle w:val="TableText"/>
                    <w:spacing w:before="0"/>
                    <w:jc w:val="center"/>
                    <w:rPr>
                      <w:sz w:val="17"/>
                      <w:szCs w:val="17"/>
                    </w:rPr>
                  </w:pPr>
                  <w:r w:rsidRPr="0090009A">
                    <w:rPr>
                      <w:sz w:val="17"/>
                      <w:szCs w:val="17"/>
                    </w:rPr>
                    <w:t>335</w:t>
                  </w:r>
                  <w:r w:rsidRPr="0090009A">
                    <w:rPr>
                      <w:sz w:val="17"/>
                      <w:szCs w:val="17"/>
                    </w:rPr>
                    <w:br/>
                    <w:t>(27%)</w:t>
                  </w:r>
                </w:p>
              </w:tc>
              <w:tc>
                <w:tcPr>
                  <w:tcW w:w="601" w:type="pct"/>
                  <w:tcBorders>
                    <w:top w:val="nil"/>
                    <w:bottom w:val="nil"/>
                  </w:tcBorders>
                  <w:shd w:val="clear" w:color="auto" w:fill="auto"/>
                  <w:hideMark/>
                </w:tcPr>
                <w:p w:rsidR="00AE2835" w:rsidRPr="0090009A" w:rsidRDefault="00AE2835" w:rsidP="0090009A">
                  <w:pPr>
                    <w:pStyle w:val="TableText"/>
                    <w:spacing w:before="0"/>
                    <w:jc w:val="center"/>
                    <w:rPr>
                      <w:sz w:val="17"/>
                      <w:szCs w:val="17"/>
                    </w:rPr>
                  </w:pPr>
                  <w:r w:rsidRPr="0090009A">
                    <w:rPr>
                      <w:sz w:val="17"/>
                      <w:szCs w:val="17"/>
                    </w:rPr>
                    <w:t>337</w:t>
                  </w:r>
                  <w:r w:rsidRPr="0090009A">
                    <w:rPr>
                      <w:sz w:val="17"/>
                      <w:szCs w:val="17"/>
                    </w:rPr>
                    <w:br/>
                    <w:t>(28%)</w:t>
                  </w:r>
                </w:p>
              </w:tc>
              <w:tc>
                <w:tcPr>
                  <w:tcW w:w="664" w:type="pct"/>
                  <w:tcBorders>
                    <w:top w:val="nil"/>
                    <w:bottom w:val="nil"/>
                  </w:tcBorders>
                  <w:shd w:val="clear" w:color="auto" w:fill="auto"/>
                  <w:hideMark/>
                </w:tcPr>
                <w:p w:rsidR="00AE2835" w:rsidRPr="0090009A" w:rsidRDefault="00AE2835" w:rsidP="0090009A">
                  <w:pPr>
                    <w:pStyle w:val="TableText"/>
                    <w:spacing w:before="0"/>
                    <w:jc w:val="center"/>
                    <w:rPr>
                      <w:sz w:val="17"/>
                      <w:szCs w:val="17"/>
                    </w:rPr>
                  </w:pPr>
                  <w:r w:rsidRPr="0090009A">
                    <w:rPr>
                      <w:sz w:val="17"/>
                      <w:szCs w:val="17"/>
                    </w:rPr>
                    <w:t>38</w:t>
                  </w:r>
                  <w:r w:rsidR="00086570" w:rsidRPr="0090009A">
                    <w:rPr>
                      <w:sz w:val="17"/>
                      <w:szCs w:val="17"/>
                    </w:rPr>
                    <w:br/>
                  </w:r>
                  <w:r w:rsidRPr="0090009A">
                    <w:rPr>
                      <w:sz w:val="17"/>
                      <w:szCs w:val="17"/>
                    </w:rPr>
                    <w:t>(3%)</w:t>
                  </w:r>
                </w:p>
              </w:tc>
              <w:tc>
                <w:tcPr>
                  <w:tcW w:w="500" w:type="pct"/>
                  <w:tcBorders>
                    <w:top w:val="nil"/>
                    <w:bottom w:val="nil"/>
                  </w:tcBorders>
                  <w:shd w:val="clear" w:color="auto" w:fill="auto"/>
                  <w:hideMark/>
                </w:tcPr>
                <w:p w:rsidR="00AE2835" w:rsidRPr="0090009A" w:rsidRDefault="00AE2835" w:rsidP="0090009A">
                  <w:pPr>
                    <w:pStyle w:val="TableText"/>
                    <w:spacing w:before="0"/>
                    <w:jc w:val="center"/>
                    <w:rPr>
                      <w:sz w:val="17"/>
                      <w:szCs w:val="17"/>
                    </w:rPr>
                  </w:pPr>
                  <w:r w:rsidRPr="0090009A">
                    <w:rPr>
                      <w:sz w:val="17"/>
                      <w:szCs w:val="17"/>
                    </w:rPr>
                    <w:t>1</w:t>
                  </w:r>
                  <w:r w:rsidRPr="0090009A">
                    <w:rPr>
                      <w:sz w:val="17"/>
                      <w:szCs w:val="17"/>
                    </w:rPr>
                    <w:br/>
                    <w:t>(0%)</w:t>
                  </w:r>
                </w:p>
              </w:tc>
              <w:tc>
                <w:tcPr>
                  <w:tcW w:w="512" w:type="pct"/>
                  <w:tcBorders>
                    <w:top w:val="nil"/>
                    <w:bottom w:val="nil"/>
                  </w:tcBorders>
                  <w:shd w:val="clear" w:color="auto" w:fill="auto"/>
                  <w:hideMark/>
                </w:tcPr>
                <w:p w:rsidR="00AE2835" w:rsidRPr="0090009A" w:rsidRDefault="00AE2835" w:rsidP="0090009A">
                  <w:pPr>
                    <w:pStyle w:val="TableText"/>
                    <w:spacing w:before="0"/>
                    <w:jc w:val="center"/>
                    <w:rPr>
                      <w:sz w:val="17"/>
                      <w:szCs w:val="17"/>
                    </w:rPr>
                  </w:pPr>
                  <w:r w:rsidRPr="0090009A">
                    <w:rPr>
                      <w:sz w:val="17"/>
                      <w:szCs w:val="17"/>
                    </w:rPr>
                    <w:t>1</w:t>
                  </w:r>
                  <w:r w:rsidRPr="0090009A">
                    <w:rPr>
                      <w:sz w:val="17"/>
                      <w:szCs w:val="17"/>
                    </w:rPr>
                    <w:br/>
                    <w:t>(0%)</w:t>
                  </w:r>
                </w:p>
              </w:tc>
              <w:tc>
                <w:tcPr>
                  <w:tcW w:w="509" w:type="pct"/>
                  <w:tcBorders>
                    <w:top w:val="nil"/>
                    <w:bottom w:val="nil"/>
                  </w:tcBorders>
                  <w:shd w:val="clear" w:color="auto" w:fill="auto"/>
                  <w:hideMark/>
                </w:tcPr>
                <w:p w:rsidR="00AE2835" w:rsidRPr="0090009A" w:rsidRDefault="00AE2835" w:rsidP="0090009A">
                  <w:pPr>
                    <w:pStyle w:val="TableText"/>
                    <w:spacing w:before="0"/>
                    <w:jc w:val="center"/>
                    <w:rPr>
                      <w:sz w:val="17"/>
                      <w:szCs w:val="17"/>
                    </w:rPr>
                  </w:pPr>
                  <w:r w:rsidRPr="0090009A">
                    <w:rPr>
                      <w:sz w:val="17"/>
                      <w:szCs w:val="17"/>
                    </w:rPr>
                    <w:t>1223</w:t>
                  </w:r>
                  <w:r w:rsidR="00086570" w:rsidRPr="0090009A">
                    <w:rPr>
                      <w:sz w:val="17"/>
                      <w:szCs w:val="17"/>
                    </w:rPr>
                    <w:br/>
                  </w:r>
                  <w:r w:rsidRPr="0090009A">
                    <w:rPr>
                      <w:sz w:val="17"/>
                      <w:szCs w:val="17"/>
                    </w:rPr>
                    <w:t>(100%)</w:t>
                  </w:r>
                </w:p>
              </w:tc>
            </w:tr>
            <w:tr w:rsidR="00086570" w:rsidRPr="003E7106" w:rsidTr="007C56CE">
              <w:trPr>
                <w:cantSplit/>
              </w:trPr>
              <w:tc>
                <w:tcPr>
                  <w:tcW w:w="610" w:type="pct"/>
                  <w:tcBorders>
                    <w:top w:val="nil"/>
                  </w:tcBorders>
                  <w:shd w:val="clear" w:color="auto" w:fill="auto"/>
                  <w:hideMark/>
                </w:tcPr>
                <w:p w:rsidR="00AE2835" w:rsidRPr="0090009A" w:rsidRDefault="00AE2835" w:rsidP="00086570">
                  <w:pPr>
                    <w:pStyle w:val="TableText"/>
                    <w:spacing w:before="0"/>
                    <w:rPr>
                      <w:sz w:val="17"/>
                      <w:szCs w:val="17"/>
                    </w:rPr>
                  </w:pPr>
                  <w:r w:rsidRPr="0090009A">
                    <w:rPr>
                      <w:sz w:val="17"/>
                      <w:szCs w:val="17"/>
                    </w:rPr>
                    <w:t>1501+*</w:t>
                  </w:r>
                </w:p>
              </w:tc>
              <w:tc>
                <w:tcPr>
                  <w:tcW w:w="490" w:type="pct"/>
                  <w:tcBorders>
                    <w:top w:val="nil"/>
                  </w:tcBorders>
                  <w:shd w:val="clear" w:color="auto" w:fill="auto"/>
                </w:tcPr>
                <w:p w:rsidR="00AE2835" w:rsidRPr="0090009A" w:rsidRDefault="00AE2835" w:rsidP="0090009A">
                  <w:pPr>
                    <w:pStyle w:val="TableText"/>
                    <w:spacing w:before="0"/>
                    <w:jc w:val="center"/>
                    <w:rPr>
                      <w:sz w:val="17"/>
                      <w:szCs w:val="17"/>
                    </w:rPr>
                  </w:pPr>
                  <w:r w:rsidRPr="0090009A">
                    <w:rPr>
                      <w:sz w:val="17"/>
                      <w:szCs w:val="17"/>
                    </w:rPr>
                    <w:t>0</w:t>
                  </w:r>
                </w:p>
              </w:tc>
              <w:tc>
                <w:tcPr>
                  <w:tcW w:w="511" w:type="pct"/>
                  <w:tcBorders>
                    <w:top w:val="nil"/>
                  </w:tcBorders>
                  <w:shd w:val="clear" w:color="auto" w:fill="auto"/>
                  <w:hideMark/>
                </w:tcPr>
                <w:p w:rsidR="00AE2835" w:rsidRPr="0090009A" w:rsidRDefault="00AE2835" w:rsidP="0090009A">
                  <w:pPr>
                    <w:pStyle w:val="TableText"/>
                    <w:spacing w:before="0"/>
                    <w:jc w:val="center"/>
                    <w:rPr>
                      <w:sz w:val="17"/>
                      <w:szCs w:val="17"/>
                    </w:rPr>
                  </w:pPr>
                  <w:r w:rsidRPr="0090009A">
                    <w:rPr>
                      <w:sz w:val="17"/>
                      <w:szCs w:val="17"/>
                    </w:rPr>
                    <w:t>1742</w:t>
                  </w:r>
                  <w:r w:rsidR="00086570" w:rsidRPr="0090009A">
                    <w:rPr>
                      <w:sz w:val="17"/>
                      <w:szCs w:val="17"/>
                    </w:rPr>
                    <w:br/>
                  </w:r>
                  <w:r w:rsidRPr="0090009A">
                    <w:rPr>
                      <w:sz w:val="17"/>
                      <w:szCs w:val="17"/>
                    </w:rPr>
                    <w:t>(34%)</w:t>
                  </w:r>
                </w:p>
              </w:tc>
              <w:tc>
                <w:tcPr>
                  <w:tcW w:w="603" w:type="pct"/>
                  <w:tcBorders>
                    <w:top w:val="nil"/>
                  </w:tcBorders>
                  <w:shd w:val="clear" w:color="auto" w:fill="auto"/>
                  <w:hideMark/>
                </w:tcPr>
                <w:p w:rsidR="00AE2835" w:rsidRPr="0090009A" w:rsidRDefault="00AE2835" w:rsidP="0090009A">
                  <w:pPr>
                    <w:pStyle w:val="TableText"/>
                    <w:spacing w:before="0"/>
                    <w:jc w:val="center"/>
                    <w:rPr>
                      <w:sz w:val="17"/>
                      <w:szCs w:val="17"/>
                    </w:rPr>
                  </w:pPr>
                  <w:r w:rsidRPr="0090009A">
                    <w:rPr>
                      <w:sz w:val="17"/>
                      <w:szCs w:val="17"/>
                    </w:rPr>
                    <w:t>1919</w:t>
                  </w:r>
                  <w:r w:rsidR="00086570" w:rsidRPr="0090009A">
                    <w:rPr>
                      <w:sz w:val="17"/>
                      <w:szCs w:val="17"/>
                    </w:rPr>
                    <w:br/>
                  </w:r>
                  <w:r w:rsidRPr="0090009A">
                    <w:rPr>
                      <w:sz w:val="17"/>
                      <w:szCs w:val="17"/>
                    </w:rPr>
                    <w:t>(38%)</w:t>
                  </w:r>
                </w:p>
              </w:tc>
              <w:tc>
                <w:tcPr>
                  <w:tcW w:w="601" w:type="pct"/>
                  <w:tcBorders>
                    <w:top w:val="nil"/>
                  </w:tcBorders>
                  <w:shd w:val="clear" w:color="auto" w:fill="auto"/>
                  <w:hideMark/>
                </w:tcPr>
                <w:p w:rsidR="00AE2835" w:rsidRPr="0090009A" w:rsidRDefault="00AE2835" w:rsidP="0090009A">
                  <w:pPr>
                    <w:pStyle w:val="TableText"/>
                    <w:spacing w:before="0"/>
                    <w:jc w:val="center"/>
                    <w:rPr>
                      <w:sz w:val="17"/>
                      <w:szCs w:val="17"/>
                    </w:rPr>
                  </w:pPr>
                  <w:r w:rsidRPr="0090009A">
                    <w:rPr>
                      <w:sz w:val="17"/>
                      <w:szCs w:val="17"/>
                    </w:rPr>
                    <w:t>1281</w:t>
                  </w:r>
                  <w:r w:rsidRPr="0090009A">
                    <w:rPr>
                      <w:sz w:val="17"/>
                      <w:szCs w:val="17"/>
                    </w:rPr>
                    <w:br/>
                    <w:t>(24%)</w:t>
                  </w:r>
                </w:p>
              </w:tc>
              <w:tc>
                <w:tcPr>
                  <w:tcW w:w="664" w:type="pct"/>
                  <w:tcBorders>
                    <w:top w:val="nil"/>
                  </w:tcBorders>
                  <w:shd w:val="clear" w:color="auto" w:fill="auto"/>
                  <w:hideMark/>
                </w:tcPr>
                <w:p w:rsidR="00AE2835" w:rsidRPr="0090009A" w:rsidRDefault="00AE2835" w:rsidP="0090009A">
                  <w:pPr>
                    <w:pStyle w:val="TableText"/>
                    <w:spacing w:before="0"/>
                    <w:jc w:val="center"/>
                    <w:rPr>
                      <w:sz w:val="17"/>
                      <w:szCs w:val="17"/>
                    </w:rPr>
                  </w:pPr>
                  <w:r w:rsidRPr="0090009A">
                    <w:rPr>
                      <w:sz w:val="17"/>
                      <w:szCs w:val="17"/>
                    </w:rPr>
                    <w:t>128</w:t>
                  </w:r>
                  <w:r w:rsidR="00086570" w:rsidRPr="0090009A">
                    <w:rPr>
                      <w:sz w:val="17"/>
                      <w:szCs w:val="17"/>
                    </w:rPr>
                    <w:br/>
                  </w:r>
                  <w:r w:rsidRPr="0090009A">
                    <w:rPr>
                      <w:sz w:val="17"/>
                      <w:szCs w:val="17"/>
                    </w:rPr>
                    <w:t>(2%)</w:t>
                  </w:r>
                </w:p>
              </w:tc>
              <w:tc>
                <w:tcPr>
                  <w:tcW w:w="500" w:type="pct"/>
                  <w:tcBorders>
                    <w:top w:val="nil"/>
                  </w:tcBorders>
                  <w:shd w:val="clear" w:color="auto" w:fill="auto"/>
                  <w:hideMark/>
                </w:tcPr>
                <w:p w:rsidR="00AE2835" w:rsidRPr="0090009A" w:rsidRDefault="00AE2835" w:rsidP="0090009A">
                  <w:pPr>
                    <w:pStyle w:val="TableText"/>
                    <w:spacing w:before="0"/>
                    <w:jc w:val="center"/>
                    <w:rPr>
                      <w:sz w:val="17"/>
                      <w:szCs w:val="17"/>
                    </w:rPr>
                  </w:pPr>
                  <w:r w:rsidRPr="0090009A">
                    <w:rPr>
                      <w:sz w:val="17"/>
                      <w:szCs w:val="17"/>
                    </w:rPr>
                    <w:t>0</w:t>
                  </w:r>
                  <w:r w:rsidRPr="0090009A">
                    <w:rPr>
                      <w:sz w:val="17"/>
                      <w:szCs w:val="17"/>
                    </w:rPr>
                    <w:br/>
                  </w:r>
                </w:p>
              </w:tc>
              <w:tc>
                <w:tcPr>
                  <w:tcW w:w="512" w:type="pct"/>
                  <w:tcBorders>
                    <w:top w:val="nil"/>
                  </w:tcBorders>
                  <w:shd w:val="clear" w:color="auto" w:fill="auto"/>
                  <w:hideMark/>
                </w:tcPr>
                <w:p w:rsidR="00AE2835" w:rsidRPr="0090009A" w:rsidRDefault="00AE2835" w:rsidP="0090009A">
                  <w:pPr>
                    <w:pStyle w:val="TableText"/>
                    <w:spacing w:before="0"/>
                    <w:jc w:val="center"/>
                    <w:rPr>
                      <w:sz w:val="17"/>
                      <w:szCs w:val="17"/>
                    </w:rPr>
                  </w:pPr>
                  <w:r w:rsidRPr="0090009A">
                    <w:rPr>
                      <w:sz w:val="17"/>
                      <w:szCs w:val="17"/>
                    </w:rPr>
                    <w:t>0</w:t>
                  </w:r>
                  <w:r w:rsidRPr="0090009A">
                    <w:rPr>
                      <w:sz w:val="17"/>
                      <w:szCs w:val="17"/>
                    </w:rPr>
                    <w:br/>
                  </w:r>
                </w:p>
              </w:tc>
              <w:tc>
                <w:tcPr>
                  <w:tcW w:w="509" w:type="pct"/>
                  <w:tcBorders>
                    <w:top w:val="nil"/>
                  </w:tcBorders>
                  <w:shd w:val="clear" w:color="auto" w:fill="auto"/>
                  <w:hideMark/>
                </w:tcPr>
                <w:p w:rsidR="00AE2835" w:rsidRPr="0090009A" w:rsidRDefault="00AE2835" w:rsidP="0090009A">
                  <w:pPr>
                    <w:pStyle w:val="TableText"/>
                    <w:spacing w:before="0"/>
                    <w:jc w:val="center"/>
                    <w:rPr>
                      <w:sz w:val="17"/>
                      <w:szCs w:val="17"/>
                    </w:rPr>
                  </w:pPr>
                  <w:r w:rsidRPr="0090009A">
                    <w:rPr>
                      <w:sz w:val="17"/>
                      <w:szCs w:val="17"/>
                    </w:rPr>
                    <w:t>5070</w:t>
                  </w:r>
                  <w:r w:rsidR="00086570" w:rsidRPr="0090009A">
                    <w:rPr>
                      <w:sz w:val="17"/>
                      <w:szCs w:val="17"/>
                    </w:rPr>
                    <w:br/>
                  </w:r>
                  <w:r w:rsidRPr="0090009A">
                    <w:rPr>
                      <w:sz w:val="17"/>
                      <w:szCs w:val="17"/>
                    </w:rPr>
                    <w:t>(100%</w:t>
                  </w:r>
                </w:p>
              </w:tc>
            </w:tr>
            <w:tr w:rsidR="00086570" w:rsidRPr="003E7106" w:rsidTr="007C56CE">
              <w:trPr>
                <w:cantSplit/>
              </w:trPr>
              <w:tc>
                <w:tcPr>
                  <w:tcW w:w="610" w:type="pct"/>
                  <w:shd w:val="clear" w:color="auto" w:fill="auto"/>
                  <w:hideMark/>
                </w:tcPr>
                <w:p w:rsidR="00AE2835" w:rsidRPr="0090009A" w:rsidRDefault="00AE2835" w:rsidP="00086570">
                  <w:pPr>
                    <w:pStyle w:val="TableText"/>
                    <w:rPr>
                      <w:sz w:val="17"/>
                      <w:szCs w:val="17"/>
                    </w:rPr>
                  </w:pPr>
                  <w:r w:rsidRPr="0090009A">
                    <w:rPr>
                      <w:sz w:val="17"/>
                      <w:szCs w:val="17"/>
                    </w:rPr>
                    <w:t>Total</w:t>
                  </w:r>
                </w:p>
              </w:tc>
              <w:tc>
                <w:tcPr>
                  <w:tcW w:w="490" w:type="pct"/>
                  <w:shd w:val="clear" w:color="auto" w:fill="auto"/>
                  <w:hideMark/>
                </w:tcPr>
                <w:p w:rsidR="00AE2835" w:rsidRPr="0090009A" w:rsidRDefault="00AE2835" w:rsidP="0090009A">
                  <w:pPr>
                    <w:pStyle w:val="TableText"/>
                    <w:jc w:val="center"/>
                    <w:rPr>
                      <w:sz w:val="17"/>
                      <w:szCs w:val="17"/>
                    </w:rPr>
                  </w:pPr>
                  <w:r w:rsidRPr="0090009A">
                    <w:rPr>
                      <w:sz w:val="17"/>
                      <w:szCs w:val="17"/>
                    </w:rPr>
                    <w:t>278</w:t>
                  </w:r>
                  <w:r w:rsidRPr="0090009A">
                    <w:rPr>
                      <w:sz w:val="17"/>
                      <w:szCs w:val="17"/>
                    </w:rPr>
                    <w:br/>
                    <w:t>(3%)</w:t>
                  </w:r>
                </w:p>
              </w:tc>
              <w:tc>
                <w:tcPr>
                  <w:tcW w:w="511" w:type="pct"/>
                  <w:shd w:val="clear" w:color="auto" w:fill="auto"/>
                  <w:hideMark/>
                </w:tcPr>
                <w:p w:rsidR="00AE2835" w:rsidRPr="0090009A" w:rsidRDefault="00AE2835" w:rsidP="0090009A">
                  <w:pPr>
                    <w:pStyle w:val="TableText"/>
                    <w:jc w:val="center"/>
                    <w:rPr>
                      <w:sz w:val="17"/>
                      <w:szCs w:val="17"/>
                    </w:rPr>
                  </w:pPr>
                  <w:r w:rsidRPr="0090009A">
                    <w:rPr>
                      <w:sz w:val="17"/>
                      <w:szCs w:val="17"/>
                    </w:rPr>
                    <w:t>2838</w:t>
                  </w:r>
                  <w:r w:rsidRPr="0090009A">
                    <w:rPr>
                      <w:sz w:val="17"/>
                      <w:szCs w:val="17"/>
                    </w:rPr>
                    <w:br/>
                    <w:t>(34%)</w:t>
                  </w:r>
                </w:p>
              </w:tc>
              <w:tc>
                <w:tcPr>
                  <w:tcW w:w="603" w:type="pct"/>
                  <w:shd w:val="clear" w:color="auto" w:fill="auto"/>
                  <w:hideMark/>
                </w:tcPr>
                <w:p w:rsidR="00AE2835" w:rsidRPr="0090009A" w:rsidRDefault="00AE2835" w:rsidP="0090009A">
                  <w:pPr>
                    <w:pStyle w:val="TableText"/>
                    <w:jc w:val="center"/>
                    <w:rPr>
                      <w:sz w:val="17"/>
                      <w:szCs w:val="17"/>
                    </w:rPr>
                  </w:pPr>
                  <w:r w:rsidRPr="0090009A">
                    <w:rPr>
                      <w:sz w:val="17"/>
                      <w:szCs w:val="17"/>
                    </w:rPr>
                    <w:t>2729</w:t>
                  </w:r>
                  <w:r w:rsidRPr="0090009A">
                    <w:rPr>
                      <w:sz w:val="17"/>
                      <w:szCs w:val="17"/>
                    </w:rPr>
                    <w:br/>
                    <w:t>(33%)</w:t>
                  </w:r>
                </w:p>
              </w:tc>
              <w:tc>
                <w:tcPr>
                  <w:tcW w:w="601" w:type="pct"/>
                  <w:shd w:val="clear" w:color="auto" w:fill="auto"/>
                  <w:hideMark/>
                </w:tcPr>
                <w:p w:rsidR="00AE2835" w:rsidRPr="0090009A" w:rsidRDefault="00AE2835" w:rsidP="0090009A">
                  <w:pPr>
                    <w:pStyle w:val="TableText"/>
                    <w:jc w:val="center"/>
                    <w:rPr>
                      <w:sz w:val="17"/>
                      <w:szCs w:val="17"/>
                    </w:rPr>
                  </w:pPr>
                  <w:r w:rsidRPr="0090009A">
                    <w:rPr>
                      <w:sz w:val="17"/>
                      <w:szCs w:val="17"/>
                    </w:rPr>
                    <w:t>2006</w:t>
                  </w:r>
                  <w:r w:rsidRPr="0090009A">
                    <w:rPr>
                      <w:sz w:val="17"/>
                      <w:szCs w:val="17"/>
                    </w:rPr>
                    <w:br/>
                    <w:t>(24%)</w:t>
                  </w:r>
                </w:p>
              </w:tc>
              <w:tc>
                <w:tcPr>
                  <w:tcW w:w="664" w:type="pct"/>
                  <w:shd w:val="clear" w:color="auto" w:fill="auto"/>
                  <w:hideMark/>
                </w:tcPr>
                <w:p w:rsidR="00AE2835" w:rsidRPr="0090009A" w:rsidRDefault="00AE2835" w:rsidP="0090009A">
                  <w:pPr>
                    <w:pStyle w:val="TableText"/>
                    <w:jc w:val="center"/>
                    <w:rPr>
                      <w:sz w:val="17"/>
                      <w:szCs w:val="17"/>
                    </w:rPr>
                  </w:pPr>
                  <w:r w:rsidRPr="0090009A">
                    <w:rPr>
                      <w:sz w:val="17"/>
                      <w:szCs w:val="17"/>
                    </w:rPr>
                    <w:t>202</w:t>
                  </w:r>
                  <w:r w:rsidRPr="0090009A">
                    <w:rPr>
                      <w:sz w:val="17"/>
                      <w:szCs w:val="17"/>
                    </w:rPr>
                    <w:br/>
                    <w:t>(2%)</w:t>
                  </w:r>
                </w:p>
              </w:tc>
              <w:tc>
                <w:tcPr>
                  <w:tcW w:w="500" w:type="pct"/>
                  <w:shd w:val="clear" w:color="auto" w:fill="auto"/>
                  <w:hideMark/>
                </w:tcPr>
                <w:p w:rsidR="00AE2835" w:rsidRPr="0090009A" w:rsidRDefault="00AE2835" w:rsidP="0090009A">
                  <w:pPr>
                    <w:pStyle w:val="TableText"/>
                    <w:jc w:val="center"/>
                    <w:rPr>
                      <w:sz w:val="17"/>
                      <w:szCs w:val="17"/>
                    </w:rPr>
                  </w:pPr>
                  <w:r w:rsidRPr="0090009A">
                    <w:rPr>
                      <w:sz w:val="17"/>
                      <w:szCs w:val="17"/>
                    </w:rPr>
                    <w:t>37</w:t>
                  </w:r>
                  <w:r w:rsidRPr="0090009A">
                    <w:rPr>
                      <w:sz w:val="17"/>
                      <w:szCs w:val="17"/>
                    </w:rPr>
                    <w:br/>
                    <w:t>(0%)</w:t>
                  </w:r>
                </w:p>
              </w:tc>
              <w:tc>
                <w:tcPr>
                  <w:tcW w:w="512" w:type="pct"/>
                  <w:shd w:val="clear" w:color="auto" w:fill="auto"/>
                  <w:hideMark/>
                </w:tcPr>
                <w:p w:rsidR="00AE2835" w:rsidRPr="0090009A" w:rsidRDefault="00AE2835" w:rsidP="0090009A">
                  <w:pPr>
                    <w:pStyle w:val="TableText"/>
                    <w:jc w:val="center"/>
                    <w:rPr>
                      <w:sz w:val="17"/>
                      <w:szCs w:val="17"/>
                    </w:rPr>
                  </w:pPr>
                  <w:r w:rsidRPr="0090009A">
                    <w:rPr>
                      <w:sz w:val="17"/>
                      <w:szCs w:val="17"/>
                    </w:rPr>
                    <w:t>234</w:t>
                  </w:r>
                  <w:r w:rsidRPr="0090009A">
                    <w:rPr>
                      <w:sz w:val="17"/>
                      <w:szCs w:val="17"/>
                    </w:rPr>
                    <w:br/>
                    <w:t>(3%)</w:t>
                  </w:r>
                </w:p>
              </w:tc>
              <w:tc>
                <w:tcPr>
                  <w:tcW w:w="509" w:type="pct"/>
                  <w:shd w:val="clear" w:color="auto" w:fill="auto"/>
                  <w:hideMark/>
                </w:tcPr>
                <w:p w:rsidR="00AE2835" w:rsidRPr="0090009A" w:rsidRDefault="00AE2835" w:rsidP="0090009A">
                  <w:pPr>
                    <w:pStyle w:val="TableText"/>
                    <w:jc w:val="center"/>
                    <w:rPr>
                      <w:sz w:val="17"/>
                      <w:szCs w:val="17"/>
                    </w:rPr>
                  </w:pPr>
                  <w:r w:rsidRPr="0090009A">
                    <w:rPr>
                      <w:sz w:val="17"/>
                      <w:szCs w:val="17"/>
                    </w:rPr>
                    <w:t>8324</w:t>
                  </w:r>
                  <w:r w:rsidRPr="0090009A">
                    <w:rPr>
                      <w:sz w:val="17"/>
                      <w:szCs w:val="17"/>
                    </w:rPr>
                    <w:br/>
                    <w:t>(100%)</w:t>
                  </w:r>
                </w:p>
              </w:tc>
            </w:tr>
          </w:tbl>
          <w:p w:rsidR="00AE2835" w:rsidRPr="003E7106" w:rsidRDefault="00AE2835" w:rsidP="00086570">
            <w:pPr>
              <w:pStyle w:val="Source"/>
              <w:rPr>
                <w:rFonts w:cs="Arial"/>
              </w:rPr>
            </w:pPr>
            <w:r w:rsidRPr="003E7106">
              <w:t>Source: Ministry of Health 2015 Home and Community Support Service Workforce Survey</w:t>
            </w:r>
          </w:p>
          <w:p w:rsidR="00AE2835" w:rsidRPr="003E7106" w:rsidRDefault="00AE2835" w:rsidP="00086570">
            <w:pPr>
              <w:pStyle w:val="Note"/>
            </w:pPr>
            <w:r w:rsidRPr="003E7106">
              <w:t>*</w:t>
            </w:r>
            <w:r w:rsidR="00086570" w:rsidRPr="003E7106">
              <w:tab/>
            </w:r>
            <w:r w:rsidRPr="003E7106">
              <w:t>There are no or very few employers who have between 601 and 1,500 employees in 2015</w:t>
            </w:r>
            <w:r w:rsidR="00086570" w:rsidRPr="003E7106">
              <w:t>.</w:t>
            </w:r>
          </w:p>
        </w:tc>
      </w:tr>
      <w:tr w:rsidR="00AE2835" w:rsidRPr="003E7106" w:rsidTr="001810CE">
        <w:trPr>
          <w:cantSplit/>
        </w:trPr>
        <w:tc>
          <w:tcPr>
            <w:tcW w:w="2234" w:type="dxa"/>
            <w:shd w:val="clear" w:color="auto" w:fill="B8CCE4" w:themeFill="accent1" w:themeFillTint="66"/>
            <w:hideMark/>
          </w:tcPr>
          <w:p w:rsidR="00AE2835" w:rsidRPr="003E7106" w:rsidRDefault="00AE2835" w:rsidP="004C54E9">
            <w:pPr>
              <w:pStyle w:val="Heading2"/>
            </w:pPr>
            <w:bookmarkStart w:id="62" w:name="_Toc423677687"/>
            <w:bookmarkStart w:id="63" w:name="_Toc426009407"/>
            <w:r w:rsidRPr="003E7106">
              <w:t>In-between Travel Settlement Agreement</w:t>
            </w:r>
            <w:bookmarkEnd w:id="62"/>
            <w:bookmarkEnd w:id="63"/>
          </w:p>
        </w:tc>
        <w:tc>
          <w:tcPr>
            <w:tcW w:w="12333" w:type="dxa"/>
            <w:shd w:val="clear" w:color="auto" w:fill="auto"/>
          </w:tcPr>
          <w:p w:rsidR="00AE2835" w:rsidRPr="003E7106" w:rsidRDefault="00AE2835" w:rsidP="00115FF8">
            <w:pPr>
              <w:pStyle w:val="TableText"/>
              <w:rPr>
                <w:rFonts w:cs="Arial"/>
              </w:rPr>
            </w:pPr>
            <w:r w:rsidRPr="003E7106">
              <w:rPr>
                <w:rFonts w:cs="Arial"/>
              </w:rPr>
              <w:t>The parties to the Settlement Agreement agreed to explore the impact and affordability of providing paid training time to enable Support Workers to obtain the Level 3 New Zealand Certificate qualification within two years of Support Worker commencing work, in line with the service needs of the population as part of regularising the home and community support workforce.</w:t>
            </w:r>
          </w:p>
          <w:p w:rsidR="00AE2835" w:rsidRPr="003E7106" w:rsidRDefault="00AE2835" w:rsidP="00115FF8">
            <w:pPr>
              <w:pStyle w:val="TableText"/>
              <w:rPr>
                <w:rFonts w:cs="Arial"/>
              </w:rPr>
            </w:pPr>
            <w:r w:rsidRPr="003E7106">
              <w:rPr>
                <w:rFonts w:cs="Arial"/>
              </w:rPr>
              <w:t>The implications of providing workers with paid training time are that:</w:t>
            </w:r>
          </w:p>
          <w:p w:rsidR="00AE2835" w:rsidRPr="003E7106" w:rsidRDefault="004C54E9" w:rsidP="004C54E9">
            <w:pPr>
              <w:pStyle w:val="TableText"/>
              <w:ind w:left="425" w:hanging="425"/>
              <w:rPr>
                <w:rFonts w:cs="Arial"/>
              </w:rPr>
            </w:pPr>
            <w:r w:rsidRPr="003E7106">
              <w:rPr>
                <w:rFonts w:cs="Arial"/>
              </w:rPr>
              <w:t>1.</w:t>
            </w:r>
            <w:r w:rsidRPr="003E7106">
              <w:rPr>
                <w:rFonts w:cs="Arial"/>
              </w:rPr>
              <w:tab/>
            </w:r>
            <w:r w:rsidR="00AE2835" w:rsidRPr="003E7106">
              <w:rPr>
                <w:rFonts w:cs="Arial"/>
              </w:rPr>
              <w:t>funding levels need to be sufficient to ensure providers can sustain the ongoing cost of a proportion of the workforce being paid for time that is not generating revenue</w:t>
            </w:r>
          </w:p>
          <w:p w:rsidR="00AE2835" w:rsidRPr="003E7106" w:rsidRDefault="004C54E9" w:rsidP="004C54E9">
            <w:pPr>
              <w:pStyle w:val="TableText"/>
              <w:ind w:left="425" w:hanging="425"/>
            </w:pPr>
            <w:r w:rsidRPr="003E7106">
              <w:rPr>
                <w:rFonts w:cs="Arial"/>
              </w:rPr>
              <w:t>2.</w:t>
            </w:r>
            <w:r w:rsidRPr="003E7106">
              <w:rPr>
                <w:rFonts w:cs="Arial"/>
              </w:rPr>
              <w:tab/>
            </w:r>
            <w:r w:rsidR="00AE2835" w:rsidRPr="003E7106">
              <w:rPr>
                <w:rFonts w:cs="Arial"/>
              </w:rPr>
              <w:t xml:space="preserve">the </w:t>
            </w:r>
            <w:r w:rsidR="0082259D" w:rsidRPr="003E7106">
              <w:rPr>
                <w:rFonts w:cs="Arial"/>
              </w:rPr>
              <w:t>‘</w:t>
            </w:r>
            <w:r w:rsidR="00AE2835" w:rsidRPr="003E7106">
              <w:rPr>
                <w:rFonts w:cs="Arial"/>
              </w:rPr>
              <w:t>hours of work</w:t>
            </w:r>
            <w:r w:rsidR="0082259D" w:rsidRPr="003E7106">
              <w:rPr>
                <w:rFonts w:cs="Arial"/>
              </w:rPr>
              <w:t>’</w:t>
            </w:r>
            <w:r w:rsidR="00AE2835" w:rsidRPr="003E7106">
              <w:rPr>
                <w:rFonts w:cs="Arial"/>
              </w:rPr>
              <w:t xml:space="preserve"> definition in Support Workers</w:t>
            </w:r>
            <w:r w:rsidR="0082259D" w:rsidRPr="003E7106">
              <w:rPr>
                <w:rFonts w:cs="Arial"/>
              </w:rPr>
              <w:t>’</w:t>
            </w:r>
            <w:r w:rsidR="00AE2835" w:rsidRPr="003E7106">
              <w:rPr>
                <w:rFonts w:cs="Arial"/>
              </w:rPr>
              <w:t xml:space="preserve"> employment agreements needs to include time rostered to attend required training.</w:t>
            </w:r>
          </w:p>
        </w:tc>
      </w:tr>
      <w:tr w:rsidR="00AE2835" w:rsidRPr="003E7106" w:rsidTr="001810CE">
        <w:trPr>
          <w:cantSplit/>
        </w:trPr>
        <w:tc>
          <w:tcPr>
            <w:tcW w:w="2234" w:type="dxa"/>
            <w:shd w:val="clear" w:color="auto" w:fill="B8CCE4" w:themeFill="accent1" w:themeFillTint="66"/>
            <w:hideMark/>
          </w:tcPr>
          <w:p w:rsidR="00AE2835" w:rsidRPr="003E7106" w:rsidRDefault="00AE2835" w:rsidP="004C54E9">
            <w:pPr>
              <w:pStyle w:val="Heading2"/>
            </w:pPr>
            <w:bookmarkStart w:id="64" w:name="_Toc426009408"/>
            <w:r w:rsidRPr="003E7106">
              <w:t>Impact and affordability</w:t>
            </w:r>
            <w:bookmarkEnd w:id="64"/>
          </w:p>
        </w:tc>
        <w:tc>
          <w:tcPr>
            <w:tcW w:w="12333" w:type="dxa"/>
            <w:shd w:val="clear" w:color="auto" w:fill="auto"/>
          </w:tcPr>
          <w:p w:rsidR="00AE2835" w:rsidRPr="003E7106" w:rsidRDefault="00AE2835" w:rsidP="00115FF8">
            <w:pPr>
              <w:pStyle w:val="TableText"/>
            </w:pPr>
            <w:r w:rsidRPr="003E7106">
              <w:t>The average cost to train a Support Worker has been estimated as follows.</w:t>
            </w:r>
          </w:p>
          <w:p w:rsidR="00AE2835" w:rsidRPr="003E7106" w:rsidRDefault="00AE2835" w:rsidP="004C54E9">
            <w:pPr>
              <w:pStyle w:val="Table"/>
            </w:pPr>
            <w:r w:rsidRPr="003E7106">
              <w:t>Table 4: Training Costs for Level 2 and Level 3 Certificate per Support Worker</w:t>
            </w:r>
          </w:p>
          <w:tbl>
            <w:tblPr>
              <w:tblW w:w="3993"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A0" w:firstRow="1" w:lastRow="0" w:firstColumn="1" w:lastColumn="0" w:noHBand="0" w:noVBand="1"/>
            </w:tblPr>
            <w:tblGrid>
              <w:gridCol w:w="4991"/>
              <w:gridCol w:w="2338"/>
              <w:gridCol w:w="2340"/>
            </w:tblGrid>
            <w:tr w:rsidR="00AE2835" w:rsidRPr="003E7106" w:rsidTr="007C56CE">
              <w:trPr>
                <w:cantSplit/>
              </w:trPr>
              <w:tc>
                <w:tcPr>
                  <w:tcW w:w="2581" w:type="pct"/>
                  <w:vMerge w:val="restart"/>
                  <w:shd w:val="clear" w:color="auto" w:fill="auto"/>
                </w:tcPr>
                <w:p w:rsidR="00AE2835" w:rsidRPr="003E7106" w:rsidRDefault="00AE2835" w:rsidP="004C54E9">
                  <w:pPr>
                    <w:pStyle w:val="TableText"/>
                    <w:rPr>
                      <w:b/>
                    </w:rPr>
                  </w:pPr>
                  <w:r w:rsidRPr="003E7106">
                    <w:rPr>
                      <w:b/>
                    </w:rPr>
                    <w:t>Qualification</w:t>
                  </w:r>
                </w:p>
              </w:tc>
              <w:tc>
                <w:tcPr>
                  <w:tcW w:w="2419" w:type="pct"/>
                  <w:gridSpan w:val="2"/>
                  <w:shd w:val="clear" w:color="auto" w:fill="auto"/>
                </w:tcPr>
                <w:p w:rsidR="00AE2835" w:rsidRPr="003E7106" w:rsidRDefault="00AE2835" w:rsidP="004C54E9">
                  <w:pPr>
                    <w:pStyle w:val="TableText"/>
                    <w:jc w:val="center"/>
                    <w:rPr>
                      <w:b/>
                    </w:rPr>
                  </w:pPr>
                  <w:r w:rsidRPr="003E7106">
                    <w:rPr>
                      <w:b/>
                    </w:rPr>
                    <w:t>Average per Support Worker</w:t>
                  </w:r>
                </w:p>
              </w:tc>
            </w:tr>
            <w:tr w:rsidR="00AE2835" w:rsidRPr="003E7106" w:rsidTr="007C56CE">
              <w:trPr>
                <w:cantSplit/>
              </w:trPr>
              <w:tc>
                <w:tcPr>
                  <w:tcW w:w="2581" w:type="pct"/>
                  <w:vMerge/>
                  <w:shd w:val="clear" w:color="auto" w:fill="auto"/>
                </w:tcPr>
                <w:p w:rsidR="00AE2835" w:rsidRPr="003E7106" w:rsidRDefault="00AE2835" w:rsidP="004C54E9">
                  <w:pPr>
                    <w:pStyle w:val="TableText"/>
                  </w:pPr>
                </w:p>
              </w:tc>
              <w:tc>
                <w:tcPr>
                  <w:tcW w:w="1209" w:type="pct"/>
                  <w:shd w:val="clear" w:color="auto" w:fill="auto"/>
                </w:tcPr>
                <w:p w:rsidR="00AE2835" w:rsidRPr="003E7106" w:rsidRDefault="00AE2835" w:rsidP="004C54E9">
                  <w:pPr>
                    <w:pStyle w:val="TableText"/>
                    <w:jc w:val="center"/>
                    <w:rPr>
                      <w:b/>
                    </w:rPr>
                  </w:pPr>
                  <w:r w:rsidRPr="003E7106">
                    <w:rPr>
                      <w:b/>
                    </w:rPr>
                    <w:t>Training Time</w:t>
                  </w:r>
                </w:p>
              </w:tc>
              <w:tc>
                <w:tcPr>
                  <w:tcW w:w="1210" w:type="pct"/>
                  <w:shd w:val="clear" w:color="auto" w:fill="auto"/>
                </w:tcPr>
                <w:p w:rsidR="00AE2835" w:rsidRPr="003E7106" w:rsidRDefault="00AE2835" w:rsidP="004C54E9">
                  <w:pPr>
                    <w:pStyle w:val="TableText"/>
                    <w:jc w:val="center"/>
                    <w:rPr>
                      <w:b/>
                    </w:rPr>
                  </w:pPr>
                  <w:r w:rsidRPr="003E7106">
                    <w:rPr>
                      <w:b/>
                    </w:rPr>
                    <w:t>Cost</w:t>
                  </w:r>
                </w:p>
              </w:tc>
            </w:tr>
            <w:tr w:rsidR="00AE2835" w:rsidRPr="003E7106" w:rsidTr="007C56CE">
              <w:trPr>
                <w:cantSplit/>
              </w:trPr>
              <w:tc>
                <w:tcPr>
                  <w:tcW w:w="2581" w:type="pct"/>
                  <w:shd w:val="clear" w:color="auto" w:fill="auto"/>
                </w:tcPr>
                <w:p w:rsidR="00AE2835" w:rsidRPr="003E7106" w:rsidRDefault="00AE2835" w:rsidP="004C54E9">
                  <w:pPr>
                    <w:pStyle w:val="TableText"/>
                    <w:rPr>
                      <w:rFonts w:cs="Arial"/>
                    </w:rPr>
                  </w:pPr>
                  <w:r w:rsidRPr="003E7106">
                    <w:rPr>
                      <w:rFonts w:cs="Arial"/>
                    </w:rPr>
                    <w:t>New Zealand Health and Wellbeing Level 2 Certificate</w:t>
                  </w:r>
                </w:p>
              </w:tc>
              <w:tc>
                <w:tcPr>
                  <w:tcW w:w="1209" w:type="pct"/>
                  <w:shd w:val="clear" w:color="auto" w:fill="auto"/>
                </w:tcPr>
                <w:p w:rsidR="00AE2835" w:rsidRPr="003E7106" w:rsidRDefault="00AE2835" w:rsidP="004C54E9">
                  <w:pPr>
                    <w:pStyle w:val="TableText"/>
                    <w:jc w:val="center"/>
                  </w:pPr>
                  <w:r w:rsidRPr="003E7106">
                    <w:t>2−9 hours</w:t>
                  </w:r>
                </w:p>
              </w:tc>
              <w:tc>
                <w:tcPr>
                  <w:tcW w:w="1210" w:type="pct"/>
                  <w:shd w:val="clear" w:color="auto" w:fill="auto"/>
                </w:tcPr>
                <w:p w:rsidR="00AE2835" w:rsidRPr="003E7106" w:rsidRDefault="00AE2835" w:rsidP="004C54E9">
                  <w:pPr>
                    <w:pStyle w:val="TableText"/>
                    <w:jc w:val="center"/>
                  </w:pPr>
                  <w:r w:rsidRPr="003E7106">
                    <w:t>$647</w:t>
                  </w:r>
                </w:p>
              </w:tc>
            </w:tr>
            <w:tr w:rsidR="00AE2835" w:rsidRPr="003E7106" w:rsidTr="007C56CE">
              <w:trPr>
                <w:cantSplit/>
              </w:trPr>
              <w:tc>
                <w:tcPr>
                  <w:tcW w:w="2581" w:type="pct"/>
                  <w:shd w:val="clear" w:color="auto" w:fill="auto"/>
                </w:tcPr>
                <w:p w:rsidR="00AE2835" w:rsidRPr="003E7106" w:rsidRDefault="00AE2835" w:rsidP="004C54E9">
                  <w:pPr>
                    <w:pStyle w:val="TableText"/>
                  </w:pPr>
                  <w:r w:rsidRPr="003E7106">
                    <w:rPr>
                      <w:rFonts w:cs="Arial"/>
                    </w:rPr>
                    <w:t>New Zealand Health and Wellbeing Level 3 Certificate</w:t>
                  </w:r>
                </w:p>
              </w:tc>
              <w:tc>
                <w:tcPr>
                  <w:tcW w:w="1209" w:type="pct"/>
                  <w:shd w:val="clear" w:color="auto" w:fill="auto"/>
                </w:tcPr>
                <w:p w:rsidR="00AE2835" w:rsidRPr="003E7106" w:rsidRDefault="00AE2835" w:rsidP="004C54E9">
                  <w:pPr>
                    <w:pStyle w:val="TableText"/>
                    <w:jc w:val="center"/>
                  </w:pPr>
                  <w:r w:rsidRPr="003E7106">
                    <w:t>30 hours</w:t>
                  </w:r>
                </w:p>
              </w:tc>
              <w:tc>
                <w:tcPr>
                  <w:tcW w:w="1210" w:type="pct"/>
                  <w:shd w:val="clear" w:color="auto" w:fill="auto"/>
                </w:tcPr>
                <w:p w:rsidR="00AE2835" w:rsidRPr="003E7106" w:rsidRDefault="00AE2835" w:rsidP="004C54E9">
                  <w:pPr>
                    <w:pStyle w:val="TableText"/>
                    <w:jc w:val="center"/>
                  </w:pPr>
                  <w:r w:rsidRPr="003E7106">
                    <w:t>$1403</w:t>
                  </w:r>
                </w:p>
              </w:tc>
            </w:tr>
          </w:tbl>
          <w:p w:rsidR="00AE2835" w:rsidRPr="003E7106" w:rsidRDefault="00AE2835" w:rsidP="00115FF8">
            <w:pPr>
              <w:pStyle w:val="TableText"/>
            </w:pPr>
            <w:r w:rsidRPr="003E7106">
              <w:t>The model that was used to determine the average time and cost to train a support worker to obtain the Level 2 and 3 qualifications has been reviewed by Careerforce and is considered by the union, DHB and provider representatives to be fair, reasonable and practicable. The assumptions are that:</w:t>
            </w:r>
          </w:p>
          <w:p w:rsidR="0082259D" w:rsidRPr="003E7106" w:rsidRDefault="004C54E9" w:rsidP="004C54E9">
            <w:pPr>
              <w:pStyle w:val="TableText"/>
              <w:ind w:left="425" w:hanging="425"/>
            </w:pPr>
            <w:r w:rsidRPr="003E7106">
              <w:t>1.</w:t>
            </w:r>
            <w:r w:rsidRPr="003E7106">
              <w:tab/>
            </w:r>
            <w:r w:rsidR="00AE2835" w:rsidRPr="003E7106">
              <w:t>all Support Workers will gain the Level 2 qualification as part of their pathway to the Level 3 qualification to address literacy and numeracy skill levels and provide the confidence for Support Workers to achieve academically</w:t>
            </w:r>
          </w:p>
          <w:p w:rsidR="0082259D" w:rsidRPr="003E7106" w:rsidRDefault="004C54E9" w:rsidP="004C54E9">
            <w:pPr>
              <w:pStyle w:val="TableText"/>
              <w:ind w:left="425" w:hanging="425"/>
            </w:pPr>
            <w:r w:rsidRPr="003E7106">
              <w:t>2.</w:t>
            </w:r>
            <w:r w:rsidRPr="003E7106">
              <w:tab/>
            </w:r>
            <w:r w:rsidR="00AE2835" w:rsidRPr="003E7106">
              <w:t>providers will continue to internally assess workers against the qualification requirements and Support Workers to achieve qualifications</w:t>
            </w:r>
          </w:p>
          <w:p w:rsidR="0082259D" w:rsidRPr="003E7106" w:rsidRDefault="004C54E9" w:rsidP="004C54E9">
            <w:pPr>
              <w:pStyle w:val="TableText"/>
              <w:ind w:left="425" w:hanging="425"/>
            </w:pPr>
            <w:r w:rsidRPr="003E7106">
              <w:t>3.</w:t>
            </w:r>
            <w:r w:rsidRPr="003E7106">
              <w:tab/>
            </w:r>
            <w:r w:rsidR="00AE2835" w:rsidRPr="003E7106">
              <w:t>the average time includes consideration of any additional literacy support that may be required for an individual Support Worker.</w:t>
            </w:r>
          </w:p>
          <w:p w:rsidR="00AE2835" w:rsidRPr="003E7106" w:rsidRDefault="00AE2835" w:rsidP="00115FF8">
            <w:pPr>
              <w:pStyle w:val="TableText"/>
            </w:pPr>
            <w:r w:rsidRPr="003E7106">
              <w:t>The positive impacts of paid training are expected to be:</w:t>
            </w:r>
          </w:p>
          <w:p w:rsidR="0082259D" w:rsidRPr="003E7106" w:rsidRDefault="004C54E9" w:rsidP="004C54E9">
            <w:pPr>
              <w:pStyle w:val="TableText"/>
              <w:ind w:left="425" w:hanging="425"/>
            </w:pPr>
            <w:r w:rsidRPr="003E7106">
              <w:t>1.</w:t>
            </w:r>
            <w:r w:rsidRPr="003E7106">
              <w:tab/>
            </w:r>
            <w:r w:rsidR="00AE2835" w:rsidRPr="003E7106">
              <w:t>higher levels of confidence on the part of Support Workers − more skilled, better valued</w:t>
            </w:r>
          </w:p>
          <w:p w:rsidR="00AE2835" w:rsidRPr="003E7106" w:rsidRDefault="004C54E9" w:rsidP="004C54E9">
            <w:pPr>
              <w:pStyle w:val="TableText"/>
              <w:ind w:left="425" w:hanging="425"/>
            </w:pPr>
            <w:r w:rsidRPr="003E7106">
              <w:t>2.</w:t>
            </w:r>
            <w:r w:rsidRPr="003E7106">
              <w:tab/>
            </w:r>
            <w:r w:rsidR="00AE2835" w:rsidRPr="003E7106">
              <w:t>for the funder, confidence that the Support Worker is the right person to deliver care to a client</w:t>
            </w:r>
          </w:p>
          <w:p w:rsidR="00AE2835" w:rsidRPr="003E7106" w:rsidRDefault="004C54E9" w:rsidP="004C54E9">
            <w:pPr>
              <w:pStyle w:val="TableText"/>
              <w:ind w:left="425" w:hanging="425"/>
            </w:pPr>
            <w:r w:rsidRPr="003E7106">
              <w:t>3.</w:t>
            </w:r>
            <w:r w:rsidRPr="003E7106">
              <w:tab/>
            </w:r>
            <w:r w:rsidR="00AE2835" w:rsidRPr="003E7106">
              <w:t>for the provider, a reduction in risk to the quality of services, and an ability to acknowledge the value of the worker</w:t>
            </w:r>
          </w:p>
          <w:p w:rsidR="0082259D" w:rsidRPr="003E7106" w:rsidRDefault="004C54E9" w:rsidP="004C54E9">
            <w:pPr>
              <w:pStyle w:val="TableText"/>
              <w:ind w:left="425" w:hanging="425"/>
            </w:pPr>
            <w:r w:rsidRPr="003E7106">
              <w:t>4.</w:t>
            </w:r>
            <w:r w:rsidRPr="003E7106">
              <w:tab/>
            </w:r>
            <w:r w:rsidR="00AE2835" w:rsidRPr="003E7106">
              <w:t>for the client, a better standard of care.</w:t>
            </w:r>
          </w:p>
          <w:p w:rsidR="00AE2835" w:rsidRPr="003E7106" w:rsidRDefault="00AE2835" w:rsidP="00115FF8">
            <w:pPr>
              <w:pStyle w:val="TableText"/>
            </w:pPr>
            <w:r w:rsidRPr="003E7106">
              <w:t xml:space="preserve">The cost implications of </w:t>
            </w:r>
            <w:r w:rsidRPr="003E7106">
              <w:rPr>
                <w:rFonts w:cs="Arial"/>
              </w:rPr>
              <w:t xml:space="preserve">providing paid training time to enable the </w:t>
            </w:r>
            <w:r w:rsidRPr="003E7106">
              <w:t xml:space="preserve">Support Worker workforce to </w:t>
            </w:r>
            <w:r w:rsidRPr="003E7106">
              <w:rPr>
                <w:rFonts w:cs="Arial"/>
              </w:rPr>
              <w:t>obtain the Level 3 New Zealand Certificate qualification has been estimated at 1.17% of current baseline costs using the price/cost model in Appendix 1.</w:t>
            </w:r>
          </w:p>
        </w:tc>
      </w:tr>
    </w:tbl>
    <w:p w:rsidR="001810CE" w:rsidRPr="003E7106" w:rsidRDefault="001810CE"/>
    <w:p w:rsidR="001810CE" w:rsidRPr="003E7106" w:rsidRDefault="001810CE" w:rsidP="001810CE">
      <w:bookmarkStart w:id="65" w:name="_Toc423677688"/>
      <w:r w:rsidRPr="003E7106">
        <w:br w:type="page"/>
      </w:r>
    </w:p>
    <w:p w:rsidR="001810CE" w:rsidRPr="003E7106" w:rsidRDefault="001810CE" w:rsidP="001810CE">
      <w:pPr>
        <w:pStyle w:val="Heading1"/>
      </w:pPr>
      <w:bookmarkStart w:id="66" w:name="_Toc426009409"/>
      <w:r w:rsidRPr="003E7106">
        <w:t>Impact and affordability of the majority of workers being employed on guaranteed hours</w:t>
      </w:r>
      <w:bookmarkEnd w:id="65"/>
      <w:bookmarkEnd w:id="66"/>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12333"/>
      </w:tblGrid>
      <w:tr w:rsidR="001810CE" w:rsidRPr="003E7106" w:rsidTr="00450FC9">
        <w:trPr>
          <w:cantSplit/>
          <w:tblHeader/>
        </w:trPr>
        <w:tc>
          <w:tcPr>
            <w:tcW w:w="2234" w:type="dxa"/>
            <w:tcBorders>
              <w:top w:val="nil"/>
              <w:left w:val="nil"/>
              <w:bottom w:val="nil"/>
              <w:right w:val="nil"/>
            </w:tcBorders>
            <w:shd w:val="clear" w:color="auto" w:fill="1F497D" w:themeFill="text2"/>
          </w:tcPr>
          <w:p w:rsidR="00AE2835" w:rsidRPr="003E7106" w:rsidRDefault="00AE2835" w:rsidP="00115FF8">
            <w:pPr>
              <w:pStyle w:val="TableText"/>
              <w:rPr>
                <w:b/>
                <w:color w:val="FFFFFF" w:themeColor="background1"/>
              </w:rPr>
            </w:pPr>
            <w:r w:rsidRPr="003E7106">
              <w:rPr>
                <w:b/>
                <w:color w:val="FFFFFF" w:themeColor="background1"/>
              </w:rPr>
              <w:t>Area</w:t>
            </w:r>
          </w:p>
        </w:tc>
        <w:tc>
          <w:tcPr>
            <w:tcW w:w="12333" w:type="dxa"/>
            <w:tcBorders>
              <w:top w:val="nil"/>
              <w:left w:val="nil"/>
              <w:bottom w:val="nil"/>
              <w:right w:val="nil"/>
            </w:tcBorders>
            <w:shd w:val="clear" w:color="auto" w:fill="1F497D" w:themeFill="text2"/>
          </w:tcPr>
          <w:p w:rsidR="00AE2835" w:rsidRPr="003E7106" w:rsidRDefault="00AE2835" w:rsidP="00115FF8">
            <w:pPr>
              <w:pStyle w:val="TableText"/>
              <w:rPr>
                <w:b/>
                <w:color w:val="FFFFFF" w:themeColor="background1"/>
              </w:rPr>
            </w:pPr>
            <w:r w:rsidRPr="003E7106">
              <w:rPr>
                <w:b/>
                <w:color w:val="FFFFFF" w:themeColor="background1"/>
              </w:rPr>
              <w:t>Key observations</w:t>
            </w:r>
          </w:p>
        </w:tc>
      </w:tr>
      <w:tr w:rsidR="00E30C5B" w:rsidRPr="003E7106" w:rsidTr="00450FC9">
        <w:trPr>
          <w:cantSplit/>
        </w:trPr>
        <w:tc>
          <w:tcPr>
            <w:tcW w:w="2234" w:type="dxa"/>
            <w:tcBorders>
              <w:top w:val="nil"/>
              <w:left w:val="nil"/>
              <w:bottom w:val="nil"/>
              <w:right w:val="nil"/>
            </w:tcBorders>
            <w:shd w:val="clear" w:color="auto" w:fill="B8CCE4" w:themeFill="accent1" w:themeFillTint="66"/>
          </w:tcPr>
          <w:p w:rsidR="00E30C5B" w:rsidRPr="003E7106" w:rsidRDefault="00E30C5B" w:rsidP="00E30C5B">
            <w:pPr>
              <w:pStyle w:val="Heading2"/>
            </w:pPr>
            <w:bookmarkStart w:id="67" w:name="_Toc423677689"/>
            <w:bookmarkStart w:id="68" w:name="_Toc426009410"/>
            <w:r w:rsidRPr="003E7106">
              <w:t>In-between Travel Settlement Agreement</w:t>
            </w:r>
            <w:bookmarkEnd w:id="67"/>
            <w:bookmarkEnd w:id="68"/>
          </w:p>
        </w:tc>
        <w:tc>
          <w:tcPr>
            <w:tcW w:w="12333" w:type="dxa"/>
            <w:tcBorders>
              <w:top w:val="nil"/>
              <w:left w:val="nil"/>
              <w:bottom w:val="nil"/>
              <w:right w:val="nil"/>
            </w:tcBorders>
            <w:shd w:val="clear" w:color="auto" w:fill="auto"/>
          </w:tcPr>
          <w:p w:rsidR="00E30C5B" w:rsidRPr="003E7106" w:rsidRDefault="00E30C5B" w:rsidP="00E30C5B">
            <w:pPr>
              <w:pStyle w:val="TableText"/>
            </w:pPr>
            <w:r w:rsidRPr="003E7106">
              <w:rPr>
                <w:rFonts w:cs="Arial"/>
              </w:rPr>
              <w:t>The parties to the Settlement Agreement agreed to explore the impact and affordability of moving to an employment model where the majority of Support Workers are employed on guaranteed hours.</w:t>
            </w:r>
            <w:r w:rsidRPr="003E7106">
              <w:t xml:space="preserve"> The impacts of</w:t>
            </w:r>
            <w:r w:rsidRPr="003E7106">
              <w:rPr>
                <w:rFonts w:cs="Arial"/>
              </w:rPr>
              <w:t xml:space="preserve"> moving to such an employment model Support Worker include:</w:t>
            </w:r>
          </w:p>
          <w:p w:rsidR="00E30C5B" w:rsidRPr="003E7106" w:rsidRDefault="00E30C5B" w:rsidP="00E30C5B">
            <w:pPr>
              <w:pStyle w:val="TableText"/>
              <w:ind w:left="425" w:hanging="425"/>
              <w:rPr>
                <w:rFonts w:cs="Arial"/>
              </w:rPr>
            </w:pPr>
            <w:r w:rsidRPr="003E7106">
              <w:rPr>
                <w:rFonts w:cs="Arial"/>
              </w:rPr>
              <w:t>1.</w:t>
            </w:r>
            <w:r w:rsidRPr="003E7106">
              <w:rPr>
                <w:rFonts w:cs="Arial"/>
              </w:rPr>
              <w:tab/>
              <w:t>easing the ongoing significant recruitment and retention pressures through certainty of work (and income)</w:t>
            </w:r>
          </w:p>
          <w:p w:rsidR="00E30C5B" w:rsidRPr="003E7106" w:rsidRDefault="00E30C5B" w:rsidP="00E30C5B">
            <w:pPr>
              <w:pStyle w:val="TableText"/>
              <w:ind w:left="425" w:hanging="425"/>
              <w:rPr>
                <w:rFonts w:cs="Arial"/>
              </w:rPr>
            </w:pPr>
            <w:r w:rsidRPr="003E7106">
              <w:rPr>
                <w:rFonts w:cs="Arial"/>
              </w:rPr>
              <w:t>2.</w:t>
            </w:r>
            <w:r w:rsidRPr="003E7106">
              <w:rPr>
                <w:rFonts w:cs="Arial"/>
              </w:rPr>
              <w:tab/>
              <w:t>continued employment of a flexible, casualised workforce available to respond to workload fluctuations</w:t>
            </w:r>
          </w:p>
          <w:p w:rsidR="00E30C5B" w:rsidRPr="003E7106" w:rsidRDefault="00E30C5B" w:rsidP="00E30C5B">
            <w:pPr>
              <w:pStyle w:val="TableText"/>
              <w:ind w:left="425" w:hanging="425"/>
              <w:rPr>
                <w:rFonts w:cs="Arial"/>
              </w:rPr>
            </w:pPr>
            <w:r w:rsidRPr="003E7106">
              <w:rPr>
                <w:rFonts w:cs="Arial"/>
              </w:rPr>
              <w:t>3.</w:t>
            </w:r>
            <w:r w:rsidRPr="003E7106">
              <w:rPr>
                <w:rFonts w:cs="Arial"/>
              </w:rPr>
              <w:tab/>
              <w:t>potentially reduced flexibility for Support Workers and clients to agree to deviate from rostered service delivery times at short notice in order to accommodate unplanned events, depending on rostering and organisational practices</w:t>
            </w:r>
          </w:p>
          <w:p w:rsidR="00E30C5B" w:rsidRPr="003E7106" w:rsidRDefault="00E30C5B" w:rsidP="00E30C5B">
            <w:pPr>
              <w:pStyle w:val="TableText"/>
              <w:ind w:left="425" w:hanging="425"/>
              <w:rPr>
                <w:rFonts w:cs="Arial"/>
              </w:rPr>
            </w:pPr>
            <w:r w:rsidRPr="003E7106">
              <w:rPr>
                <w:rFonts w:cs="Arial"/>
              </w:rPr>
              <w:t>4.</w:t>
            </w:r>
            <w:r w:rsidRPr="003E7106">
              <w:rPr>
                <w:rFonts w:cs="Arial"/>
              </w:rPr>
              <w:tab/>
              <w:t>the risk of less client choice of time of service delivery, and of Support Worker, as providers seek to optimise their rostering practices to reduce travel costs and increase efficiencies.</w:t>
            </w:r>
          </w:p>
          <w:p w:rsidR="00E30C5B" w:rsidRPr="003E7106" w:rsidRDefault="00E30C5B" w:rsidP="00E30C5B">
            <w:pPr>
              <w:pStyle w:val="TableText"/>
              <w:ind w:left="425"/>
              <w:rPr>
                <w:rFonts w:cs="Arial"/>
                <w:sz w:val="16"/>
                <w:szCs w:val="16"/>
              </w:rPr>
            </w:pPr>
            <w:r w:rsidRPr="003E7106">
              <w:rPr>
                <w:rFonts w:cs="Arial"/>
                <w:sz w:val="16"/>
                <w:szCs w:val="16"/>
              </w:rPr>
              <w:t>[Mitigation strategies could include setting up a cluster of Support Workers working as a team within a defined geographical area and supporting a common group of clients. This would mean quality care is delivered to each client, but not always by the same person and within a time range. The team-based approach requires sufficient numbers of qualified staff as well as a change in service expectations.]</w:t>
            </w:r>
          </w:p>
          <w:p w:rsidR="00E30C5B" w:rsidRPr="003E7106" w:rsidRDefault="00E30C5B" w:rsidP="00E30C5B">
            <w:pPr>
              <w:pStyle w:val="TableText"/>
              <w:rPr>
                <w:rFonts w:cs="Arial"/>
              </w:rPr>
            </w:pPr>
            <w:r w:rsidRPr="003E7106">
              <w:rPr>
                <w:rFonts w:cs="Arial"/>
              </w:rPr>
              <w:t>5.</w:t>
            </w:r>
            <w:r w:rsidRPr="003E7106">
              <w:rPr>
                <w:rFonts w:cs="Arial"/>
              </w:rPr>
              <w:tab/>
              <w:t>avoiding the need for Support Workers to work more than one job, or rely on alternative income</w:t>
            </w:r>
          </w:p>
          <w:p w:rsidR="00E30C5B" w:rsidRPr="003E7106" w:rsidRDefault="00E30C5B" w:rsidP="00E30C5B">
            <w:pPr>
              <w:pStyle w:val="TableText"/>
              <w:ind w:left="425" w:hanging="425"/>
              <w:rPr>
                <w:rFonts w:cs="Arial"/>
              </w:rPr>
            </w:pPr>
            <w:r w:rsidRPr="003E7106">
              <w:rPr>
                <w:rFonts w:cs="Arial"/>
              </w:rPr>
              <w:t>6.</w:t>
            </w:r>
            <w:r w:rsidRPr="003E7106">
              <w:rPr>
                <w:rFonts w:cs="Arial"/>
              </w:rPr>
              <w:tab/>
              <w:t>minimising the potential legal risk that follows from a union view that not providing ongoing work/employment when work patterns may suggest that employment is of a more permanent nature and the provider has an ongoing contract to provide services.</w:t>
            </w:r>
          </w:p>
          <w:p w:rsidR="00E30C5B" w:rsidRPr="003E7106" w:rsidRDefault="00E30C5B" w:rsidP="00E30C5B">
            <w:pPr>
              <w:pStyle w:val="TableText"/>
              <w:rPr>
                <w:rFonts w:cs="Arial"/>
              </w:rPr>
            </w:pPr>
            <w:r w:rsidRPr="003E7106">
              <w:rPr>
                <w:rFonts w:cs="Arial"/>
              </w:rPr>
              <w:t>The caveats include:</w:t>
            </w:r>
          </w:p>
          <w:p w:rsidR="00E30C5B" w:rsidRPr="003E7106" w:rsidRDefault="00E30C5B" w:rsidP="00E30C5B">
            <w:pPr>
              <w:pStyle w:val="TableText"/>
              <w:ind w:left="425" w:hanging="425"/>
              <w:rPr>
                <w:rFonts w:cs="Arial"/>
              </w:rPr>
            </w:pPr>
            <w:r w:rsidRPr="003E7106">
              <w:rPr>
                <w:rFonts w:cs="Arial"/>
              </w:rPr>
              <w:t>1.</w:t>
            </w:r>
            <w:r w:rsidRPr="003E7106">
              <w:rPr>
                <w:rFonts w:cs="Arial"/>
              </w:rPr>
              <w:tab/>
              <w:t>funding levels being sufficient to mitigate the financial risk to providers of guaranteeing a Support Worker a set number of paid hours of work when there is no guarantee that work is available for that Support Worker to do</w:t>
            </w:r>
          </w:p>
          <w:p w:rsidR="00E30C5B" w:rsidRPr="003E7106" w:rsidRDefault="00E30C5B" w:rsidP="00E30C5B">
            <w:pPr>
              <w:pStyle w:val="TableText"/>
              <w:ind w:left="425" w:hanging="425"/>
              <w:rPr>
                <w:rFonts w:cs="Arial"/>
              </w:rPr>
            </w:pPr>
            <w:r w:rsidRPr="003E7106">
              <w:rPr>
                <w:rFonts w:cs="Arial"/>
              </w:rPr>
              <w:t>2.</w:t>
            </w:r>
            <w:r w:rsidRPr="003E7106">
              <w:rPr>
                <w:rFonts w:cs="Arial"/>
              </w:rPr>
              <w:tab/>
              <w:t>acceptance across the sector that flexibility to vary from rostered services to accommodate unplanned events is likely to be reduced</w:t>
            </w:r>
          </w:p>
          <w:p w:rsidR="00E30C5B" w:rsidRPr="003E7106" w:rsidRDefault="00E30C5B" w:rsidP="00E30C5B">
            <w:pPr>
              <w:pStyle w:val="TableText"/>
              <w:ind w:left="425" w:hanging="425"/>
              <w:rPr>
                <w:rFonts w:cs="Arial"/>
              </w:rPr>
            </w:pPr>
            <w:r w:rsidRPr="003E7106">
              <w:rPr>
                <w:rFonts w:cs="Arial"/>
              </w:rPr>
              <w:t>3.</w:t>
            </w:r>
            <w:r w:rsidRPr="003E7106">
              <w:rPr>
                <w:rFonts w:cs="Arial"/>
              </w:rPr>
              <w:tab/>
              <w:t>Support Worker employment agreements clearly outlining employment definitions aligned to the Employment Relations Act 2000 and provisions relating to the administration of guaranteed hours of work.</w:t>
            </w:r>
          </w:p>
        </w:tc>
      </w:tr>
      <w:tr w:rsidR="00E30C5B" w:rsidRPr="003E7106" w:rsidTr="00450FC9">
        <w:trPr>
          <w:cantSplit/>
        </w:trPr>
        <w:tc>
          <w:tcPr>
            <w:tcW w:w="2234" w:type="dxa"/>
            <w:tcBorders>
              <w:top w:val="nil"/>
              <w:left w:val="nil"/>
              <w:bottom w:val="nil"/>
              <w:right w:val="nil"/>
            </w:tcBorders>
            <w:shd w:val="clear" w:color="auto" w:fill="B8CCE4" w:themeFill="accent1" w:themeFillTint="66"/>
          </w:tcPr>
          <w:p w:rsidR="00E30C5B" w:rsidRPr="003E7106" w:rsidRDefault="00E30C5B" w:rsidP="00E30C5B">
            <w:pPr>
              <w:pStyle w:val="Heading2"/>
            </w:pPr>
            <w:bookmarkStart w:id="69" w:name="_Toc423677690"/>
            <w:bookmarkStart w:id="70" w:name="_Toc426009411"/>
            <w:r w:rsidRPr="003E7106">
              <w:t>Current state</w:t>
            </w:r>
            <w:bookmarkEnd w:id="69"/>
            <w:bookmarkEnd w:id="70"/>
          </w:p>
        </w:tc>
        <w:tc>
          <w:tcPr>
            <w:tcW w:w="12333" w:type="dxa"/>
            <w:tcBorders>
              <w:top w:val="nil"/>
              <w:left w:val="nil"/>
              <w:bottom w:val="nil"/>
              <w:right w:val="nil"/>
            </w:tcBorders>
            <w:shd w:val="clear" w:color="auto" w:fill="auto"/>
          </w:tcPr>
          <w:p w:rsidR="00E30C5B" w:rsidRPr="003E7106" w:rsidRDefault="00E30C5B" w:rsidP="00E30C5B">
            <w:pPr>
              <w:pStyle w:val="TableText"/>
              <w:rPr>
                <w:rFonts w:cs="Arial"/>
              </w:rPr>
            </w:pPr>
            <w:r w:rsidRPr="003E7106">
              <w:t xml:space="preserve">Generally, the </w:t>
            </w:r>
            <w:r w:rsidRPr="003E7106">
              <w:rPr>
                <w:rFonts w:cs="Arial"/>
              </w:rPr>
              <w:t>hours worked by Support Workers are based on the assigned client’s needs and remunerated on a piecemeal basis (ie, payment is per client hour), with no guaranteed hours of work or workloads. While rosters are developed (generally up to a fortnight in advance of service delivery), Support Workers and clients sometimes agree to vary from the roster to accommodate unplanned events.</w:t>
            </w:r>
          </w:p>
          <w:p w:rsidR="00E30C5B" w:rsidRPr="003E7106" w:rsidRDefault="00E30C5B" w:rsidP="00E30C5B">
            <w:pPr>
              <w:pStyle w:val="TableText"/>
              <w:rPr>
                <w:rFonts w:cs="Arial"/>
              </w:rPr>
            </w:pPr>
            <w:r w:rsidRPr="003E7106">
              <w:rPr>
                <w:rFonts w:cs="Arial"/>
              </w:rPr>
              <w:t>The needs of clients fluctuate and workloads are affected when an assigned client is on holiday, in hospital, enters residential care or no longer requires the service. In addition, some clients only need services on a short-term basis. The degree of variability in client need and funding linked to service provision is regularly cited as the rationale for Support Worker hours not being guaranteed.</w:t>
            </w:r>
          </w:p>
          <w:p w:rsidR="00E30C5B" w:rsidRPr="003E7106" w:rsidRDefault="00E30C5B" w:rsidP="00115FF8">
            <w:pPr>
              <w:pStyle w:val="TableText"/>
            </w:pPr>
            <w:r w:rsidRPr="003E7106">
              <w:t xml:space="preserve">The Ministry of Health 2015 Workforce Survey asked providers to provide the hours worked by each employee in each week over a four-week period (8 February to 9 March 2015). Thirty-one providers, covering 4913 workers </w:t>
            </w:r>
            <w:r w:rsidRPr="003E7106">
              <w:rPr>
                <w:rFonts w:cs="Arial"/>
              </w:rPr>
              <w:t>(20% of the estimated workforce),</w:t>
            </w:r>
            <w:r w:rsidRPr="003E7106">
              <w:t xml:space="preserve"> provided the information requested (see Figure 3 and Table 5).</w:t>
            </w:r>
          </w:p>
        </w:tc>
      </w:tr>
      <w:tr w:rsidR="00E30C5B" w:rsidRPr="003E7106" w:rsidTr="00450FC9">
        <w:trPr>
          <w:cantSplit/>
        </w:trPr>
        <w:tc>
          <w:tcPr>
            <w:tcW w:w="2234" w:type="dxa"/>
            <w:tcBorders>
              <w:top w:val="nil"/>
              <w:left w:val="nil"/>
              <w:bottom w:val="nil"/>
              <w:right w:val="nil"/>
            </w:tcBorders>
            <w:shd w:val="clear" w:color="auto" w:fill="B8CCE4" w:themeFill="accent1" w:themeFillTint="66"/>
          </w:tcPr>
          <w:p w:rsidR="00E30C5B" w:rsidRPr="003E7106" w:rsidRDefault="00E30C5B" w:rsidP="00E30C5B">
            <w:pPr>
              <w:pStyle w:val="Heading3"/>
              <w:rPr>
                <w:b w:val="0"/>
              </w:rPr>
            </w:pPr>
            <w:r w:rsidRPr="003E7106">
              <w:t>Current state</w:t>
            </w:r>
            <w:r w:rsidRPr="003E7106">
              <w:br/>
            </w:r>
            <w:r w:rsidRPr="003E7106">
              <w:rPr>
                <w:b w:val="0"/>
              </w:rPr>
              <w:t>(continued)</w:t>
            </w:r>
          </w:p>
        </w:tc>
        <w:tc>
          <w:tcPr>
            <w:tcW w:w="12333" w:type="dxa"/>
            <w:tcBorders>
              <w:top w:val="nil"/>
              <w:left w:val="nil"/>
              <w:bottom w:val="nil"/>
              <w:right w:val="nil"/>
            </w:tcBorders>
            <w:shd w:val="clear" w:color="auto" w:fill="auto"/>
          </w:tcPr>
          <w:p w:rsidR="00E30C5B" w:rsidRPr="003E7106" w:rsidRDefault="00E30C5B" w:rsidP="00E30C5B">
            <w:pPr>
              <w:pStyle w:val="Figure"/>
            </w:pPr>
            <w:r w:rsidRPr="003E7106">
              <w:t>Figure 3: Percentage of Home and Community Support Workers who worked consistent hours for the period 8 February to 9 March 2015</w:t>
            </w:r>
          </w:p>
          <w:p w:rsidR="00E30C5B" w:rsidRPr="003E7106" w:rsidRDefault="00E30C5B" w:rsidP="00E30C5B">
            <w:pPr>
              <w:pStyle w:val="TableText"/>
            </w:pPr>
            <w:r w:rsidRPr="003E7106">
              <w:rPr>
                <w:noProof/>
                <w:lang w:eastAsia="en-NZ"/>
              </w:rPr>
              <w:drawing>
                <wp:inline distT="0" distB="0" distL="0" distR="0" wp14:anchorId="7A542331" wp14:editId="08D70E2F">
                  <wp:extent cx="5295207" cy="2350856"/>
                  <wp:effectExtent l="0" t="0" r="1270" b="0"/>
                  <wp:docPr id="4"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30C5B" w:rsidRPr="003E7106" w:rsidRDefault="00E30C5B" w:rsidP="00E30C5B">
            <w:pPr>
              <w:pStyle w:val="Source"/>
              <w:rPr>
                <w:rFonts w:cs="Arial"/>
              </w:rPr>
            </w:pPr>
            <w:r w:rsidRPr="003E7106">
              <w:t>Source: Ministry of Health 2015 Home and Community Support Service Workforce Survey</w:t>
            </w:r>
          </w:p>
          <w:p w:rsidR="00E30C5B" w:rsidRPr="003E7106" w:rsidRDefault="00E30C5B" w:rsidP="00E30C5B">
            <w:pPr>
              <w:pStyle w:val="Note"/>
            </w:pPr>
            <w:r w:rsidRPr="003E7106">
              <w:t>Notes</w:t>
            </w:r>
          </w:p>
          <w:p w:rsidR="00E30C5B" w:rsidRPr="003E7106" w:rsidRDefault="00E30C5B" w:rsidP="00E30C5B">
            <w:pPr>
              <w:pStyle w:val="Note"/>
            </w:pPr>
            <w:r w:rsidRPr="003E7106">
              <w:t>1.</w:t>
            </w:r>
            <w:r w:rsidRPr="003E7106">
              <w:tab/>
              <w:t>Workers were deemed to have consistent hours if the number of hours worked each week varied by less than 5%.</w:t>
            </w:r>
          </w:p>
          <w:p w:rsidR="00E30C5B" w:rsidRPr="003E7106" w:rsidRDefault="00E30C5B" w:rsidP="00E30C5B">
            <w:pPr>
              <w:pStyle w:val="Note"/>
            </w:pPr>
            <w:r w:rsidRPr="003E7106">
              <w:t>2.</w:t>
            </w:r>
            <w:r w:rsidRPr="003E7106">
              <w:tab/>
              <w:t>The survey did not collect information on consistency of actual hours or days worked.</w:t>
            </w:r>
          </w:p>
        </w:tc>
      </w:tr>
      <w:tr w:rsidR="00450FC9" w:rsidRPr="003E7106" w:rsidTr="00450FC9">
        <w:trPr>
          <w:cantSplit/>
        </w:trPr>
        <w:tc>
          <w:tcPr>
            <w:tcW w:w="2234" w:type="dxa"/>
            <w:tcBorders>
              <w:top w:val="nil"/>
              <w:left w:val="nil"/>
              <w:bottom w:val="nil"/>
              <w:right w:val="nil"/>
            </w:tcBorders>
            <w:shd w:val="clear" w:color="auto" w:fill="B8CCE4" w:themeFill="accent1" w:themeFillTint="66"/>
          </w:tcPr>
          <w:p w:rsidR="00450FC9" w:rsidRPr="003E7106" w:rsidRDefault="00450FC9" w:rsidP="00673AB8">
            <w:pPr>
              <w:pStyle w:val="Heading3"/>
              <w:rPr>
                <w:b w:val="0"/>
              </w:rPr>
            </w:pPr>
            <w:r w:rsidRPr="003E7106">
              <w:t>Current state</w:t>
            </w:r>
            <w:r w:rsidRPr="003E7106">
              <w:rPr>
                <w:b w:val="0"/>
              </w:rPr>
              <w:br/>
              <w:t>(continued)</w:t>
            </w:r>
          </w:p>
        </w:tc>
        <w:tc>
          <w:tcPr>
            <w:tcW w:w="12333" w:type="dxa"/>
            <w:tcBorders>
              <w:top w:val="nil"/>
              <w:left w:val="nil"/>
              <w:bottom w:val="nil"/>
              <w:right w:val="nil"/>
            </w:tcBorders>
            <w:shd w:val="clear" w:color="auto" w:fill="auto"/>
          </w:tcPr>
          <w:p w:rsidR="00450FC9" w:rsidRPr="003E7106" w:rsidRDefault="00450FC9" w:rsidP="00450FC9">
            <w:pPr>
              <w:pStyle w:val="Table"/>
            </w:pPr>
            <w:r w:rsidRPr="003E7106">
              <w:t>Table 5: Number of Home and Community Support Workers who worked consistent hours, by employer size, for the period 8 February to 9 March 2015</w:t>
            </w:r>
          </w:p>
          <w:tbl>
            <w:tblPr>
              <w:tblW w:w="0" w:type="auto"/>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A0" w:firstRow="1" w:lastRow="0" w:firstColumn="1" w:lastColumn="0" w:noHBand="0" w:noVBand="1"/>
            </w:tblPr>
            <w:tblGrid>
              <w:gridCol w:w="1639"/>
              <w:gridCol w:w="1720"/>
              <w:gridCol w:w="1527"/>
              <w:gridCol w:w="1528"/>
              <w:gridCol w:w="1528"/>
              <w:gridCol w:w="1300"/>
            </w:tblGrid>
            <w:tr w:rsidR="00450FC9" w:rsidRPr="003E7106" w:rsidTr="007C56CE">
              <w:trPr>
                <w:cantSplit/>
              </w:trPr>
              <w:tc>
                <w:tcPr>
                  <w:tcW w:w="1639" w:type="dxa"/>
                  <w:shd w:val="clear" w:color="auto" w:fill="auto"/>
                </w:tcPr>
                <w:p w:rsidR="00450FC9" w:rsidRPr="0090009A" w:rsidRDefault="00450FC9" w:rsidP="006955FC">
                  <w:pPr>
                    <w:pStyle w:val="TableText"/>
                    <w:rPr>
                      <w:b/>
                      <w:sz w:val="17"/>
                      <w:szCs w:val="17"/>
                    </w:rPr>
                  </w:pPr>
                  <w:r w:rsidRPr="0090009A">
                    <w:rPr>
                      <w:b/>
                      <w:sz w:val="17"/>
                      <w:szCs w:val="17"/>
                    </w:rPr>
                    <w:t>Employer size</w:t>
                  </w:r>
                </w:p>
              </w:tc>
              <w:tc>
                <w:tcPr>
                  <w:tcW w:w="1720" w:type="dxa"/>
                  <w:shd w:val="clear" w:color="auto" w:fill="auto"/>
                </w:tcPr>
                <w:p w:rsidR="00450FC9" w:rsidRPr="0090009A" w:rsidRDefault="00450FC9" w:rsidP="006955FC">
                  <w:pPr>
                    <w:pStyle w:val="TableText"/>
                    <w:jc w:val="center"/>
                    <w:rPr>
                      <w:b/>
                      <w:sz w:val="17"/>
                      <w:szCs w:val="17"/>
                    </w:rPr>
                  </w:pPr>
                  <w:r w:rsidRPr="0090009A">
                    <w:rPr>
                      <w:b/>
                      <w:sz w:val="17"/>
                      <w:szCs w:val="17"/>
                    </w:rPr>
                    <w:t>No consistency</w:t>
                  </w:r>
                </w:p>
              </w:tc>
              <w:tc>
                <w:tcPr>
                  <w:tcW w:w="1527" w:type="dxa"/>
                  <w:shd w:val="clear" w:color="auto" w:fill="auto"/>
                </w:tcPr>
                <w:p w:rsidR="00450FC9" w:rsidRPr="0090009A" w:rsidRDefault="00450FC9" w:rsidP="006955FC">
                  <w:pPr>
                    <w:pStyle w:val="TableText"/>
                    <w:jc w:val="center"/>
                    <w:rPr>
                      <w:b/>
                      <w:sz w:val="17"/>
                      <w:szCs w:val="17"/>
                    </w:rPr>
                  </w:pPr>
                  <w:r w:rsidRPr="0090009A">
                    <w:rPr>
                      <w:b/>
                      <w:sz w:val="17"/>
                      <w:szCs w:val="17"/>
                    </w:rPr>
                    <w:t>2 weeks</w:t>
                  </w:r>
                </w:p>
              </w:tc>
              <w:tc>
                <w:tcPr>
                  <w:tcW w:w="1528" w:type="dxa"/>
                  <w:shd w:val="clear" w:color="auto" w:fill="auto"/>
                </w:tcPr>
                <w:p w:rsidR="00450FC9" w:rsidRPr="0090009A" w:rsidRDefault="00450FC9" w:rsidP="006955FC">
                  <w:pPr>
                    <w:pStyle w:val="TableText"/>
                    <w:jc w:val="center"/>
                    <w:rPr>
                      <w:b/>
                      <w:sz w:val="17"/>
                      <w:szCs w:val="17"/>
                    </w:rPr>
                  </w:pPr>
                  <w:r w:rsidRPr="0090009A">
                    <w:rPr>
                      <w:b/>
                      <w:sz w:val="17"/>
                      <w:szCs w:val="17"/>
                    </w:rPr>
                    <w:t>3 weeks</w:t>
                  </w:r>
                </w:p>
              </w:tc>
              <w:tc>
                <w:tcPr>
                  <w:tcW w:w="1528" w:type="dxa"/>
                  <w:shd w:val="clear" w:color="auto" w:fill="auto"/>
                </w:tcPr>
                <w:p w:rsidR="00450FC9" w:rsidRPr="0090009A" w:rsidRDefault="00450FC9" w:rsidP="006955FC">
                  <w:pPr>
                    <w:pStyle w:val="TableText"/>
                    <w:jc w:val="center"/>
                    <w:rPr>
                      <w:b/>
                      <w:sz w:val="17"/>
                      <w:szCs w:val="17"/>
                    </w:rPr>
                  </w:pPr>
                  <w:r w:rsidRPr="0090009A">
                    <w:rPr>
                      <w:b/>
                      <w:sz w:val="17"/>
                      <w:szCs w:val="17"/>
                    </w:rPr>
                    <w:t>4 weeks</w:t>
                  </w:r>
                </w:p>
              </w:tc>
              <w:tc>
                <w:tcPr>
                  <w:tcW w:w="1300" w:type="dxa"/>
                  <w:shd w:val="clear" w:color="auto" w:fill="auto"/>
                </w:tcPr>
                <w:p w:rsidR="00450FC9" w:rsidRPr="0090009A" w:rsidRDefault="00450FC9" w:rsidP="006955FC">
                  <w:pPr>
                    <w:pStyle w:val="TableText"/>
                    <w:jc w:val="center"/>
                    <w:rPr>
                      <w:b/>
                      <w:sz w:val="17"/>
                      <w:szCs w:val="17"/>
                    </w:rPr>
                  </w:pPr>
                  <w:r w:rsidRPr="0090009A">
                    <w:rPr>
                      <w:b/>
                      <w:sz w:val="17"/>
                      <w:szCs w:val="17"/>
                    </w:rPr>
                    <w:t>Total</w:t>
                  </w:r>
                </w:p>
              </w:tc>
            </w:tr>
            <w:tr w:rsidR="00450FC9" w:rsidRPr="003E7106" w:rsidTr="007C56CE">
              <w:trPr>
                <w:cantSplit/>
              </w:trPr>
              <w:tc>
                <w:tcPr>
                  <w:tcW w:w="1639" w:type="dxa"/>
                  <w:tcBorders>
                    <w:bottom w:val="nil"/>
                  </w:tcBorders>
                  <w:shd w:val="clear" w:color="auto" w:fill="auto"/>
                </w:tcPr>
                <w:p w:rsidR="00450FC9" w:rsidRPr="0090009A" w:rsidRDefault="00450FC9" w:rsidP="006955FC">
                  <w:pPr>
                    <w:pStyle w:val="TableText"/>
                    <w:rPr>
                      <w:sz w:val="17"/>
                      <w:szCs w:val="17"/>
                    </w:rPr>
                  </w:pPr>
                  <w:r w:rsidRPr="0090009A">
                    <w:rPr>
                      <w:sz w:val="17"/>
                      <w:szCs w:val="17"/>
                    </w:rPr>
                    <w:t>1−50</w:t>
                  </w:r>
                </w:p>
              </w:tc>
              <w:tc>
                <w:tcPr>
                  <w:tcW w:w="1720" w:type="dxa"/>
                  <w:tcBorders>
                    <w:bottom w:val="nil"/>
                  </w:tcBorders>
                  <w:shd w:val="clear" w:color="auto" w:fill="auto"/>
                </w:tcPr>
                <w:p w:rsidR="00450FC9" w:rsidRPr="0090009A" w:rsidRDefault="00450FC9" w:rsidP="0090009A">
                  <w:pPr>
                    <w:pStyle w:val="TableText"/>
                    <w:jc w:val="center"/>
                    <w:rPr>
                      <w:sz w:val="17"/>
                      <w:szCs w:val="17"/>
                    </w:rPr>
                  </w:pPr>
                  <w:r w:rsidRPr="0090009A">
                    <w:rPr>
                      <w:sz w:val="17"/>
                      <w:szCs w:val="17"/>
                    </w:rPr>
                    <w:t>18</w:t>
                  </w:r>
                  <w:r w:rsidRPr="0090009A">
                    <w:rPr>
                      <w:sz w:val="17"/>
                      <w:szCs w:val="17"/>
                    </w:rPr>
                    <w:br/>
                    <w:t>(8%)</w:t>
                  </w:r>
                </w:p>
              </w:tc>
              <w:tc>
                <w:tcPr>
                  <w:tcW w:w="1527" w:type="dxa"/>
                  <w:tcBorders>
                    <w:bottom w:val="nil"/>
                  </w:tcBorders>
                  <w:shd w:val="clear" w:color="auto" w:fill="auto"/>
                </w:tcPr>
                <w:p w:rsidR="00450FC9" w:rsidRPr="0090009A" w:rsidRDefault="00450FC9" w:rsidP="0090009A">
                  <w:pPr>
                    <w:pStyle w:val="TableText"/>
                    <w:jc w:val="center"/>
                    <w:rPr>
                      <w:sz w:val="17"/>
                      <w:szCs w:val="17"/>
                    </w:rPr>
                  </w:pPr>
                  <w:r w:rsidRPr="0090009A">
                    <w:rPr>
                      <w:sz w:val="17"/>
                      <w:szCs w:val="17"/>
                    </w:rPr>
                    <w:t>75</w:t>
                  </w:r>
                  <w:r w:rsidRPr="0090009A">
                    <w:rPr>
                      <w:sz w:val="17"/>
                      <w:szCs w:val="17"/>
                    </w:rPr>
                    <w:br/>
                    <w:t>(35%)</w:t>
                  </w:r>
                </w:p>
              </w:tc>
              <w:tc>
                <w:tcPr>
                  <w:tcW w:w="1528" w:type="dxa"/>
                  <w:tcBorders>
                    <w:bottom w:val="nil"/>
                  </w:tcBorders>
                  <w:shd w:val="clear" w:color="auto" w:fill="auto"/>
                </w:tcPr>
                <w:p w:rsidR="00450FC9" w:rsidRPr="0090009A" w:rsidRDefault="00450FC9" w:rsidP="0090009A">
                  <w:pPr>
                    <w:pStyle w:val="TableText"/>
                    <w:jc w:val="center"/>
                    <w:rPr>
                      <w:sz w:val="17"/>
                      <w:szCs w:val="17"/>
                    </w:rPr>
                  </w:pPr>
                  <w:r w:rsidRPr="0090009A">
                    <w:rPr>
                      <w:sz w:val="17"/>
                      <w:szCs w:val="17"/>
                    </w:rPr>
                    <w:t>29</w:t>
                  </w:r>
                  <w:r w:rsidRPr="0090009A">
                    <w:rPr>
                      <w:sz w:val="17"/>
                      <w:szCs w:val="17"/>
                    </w:rPr>
                    <w:br/>
                    <w:t>(14%)</w:t>
                  </w:r>
                </w:p>
              </w:tc>
              <w:tc>
                <w:tcPr>
                  <w:tcW w:w="1528" w:type="dxa"/>
                  <w:tcBorders>
                    <w:bottom w:val="nil"/>
                  </w:tcBorders>
                  <w:shd w:val="clear" w:color="auto" w:fill="auto"/>
                </w:tcPr>
                <w:p w:rsidR="00450FC9" w:rsidRPr="0090009A" w:rsidRDefault="00450FC9" w:rsidP="0090009A">
                  <w:pPr>
                    <w:pStyle w:val="TableText"/>
                    <w:jc w:val="center"/>
                    <w:rPr>
                      <w:sz w:val="17"/>
                      <w:szCs w:val="17"/>
                    </w:rPr>
                  </w:pPr>
                  <w:r w:rsidRPr="0090009A">
                    <w:rPr>
                      <w:sz w:val="17"/>
                      <w:szCs w:val="17"/>
                    </w:rPr>
                    <w:t>90</w:t>
                  </w:r>
                  <w:r w:rsidRPr="0090009A">
                    <w:rPr>
                      <w:sz w:val="17"/>
                      <w:szCs w:val="17"/>
                    </w:rPr>
                    <w:br/>
                    <w:t>(43%)</w:t>
                  </w:r>
                </w:p>
              </w:tc>
              <w:tc>
                <w:tcPr>
                  <w:tcW w:w="1300" w:type="dxa"/>
                  <w:tcBorders>
                    <w:bottom w:val="nil"/>
                  </w:tcBorders>
                  <w:shd w:val="clear" w:color="auto" w:fill="auto"/>
                </w:tcPr>
                <w:p w:rsidR="00450FC9" w:rsidRPr="0090009A" w:rsidRDefault="00450FC9" w:rsidP="0090009A">
                  <w:pPr>
                    <w:pStyle w:val="TableText"/>
                    <w:jc w:val="center"/>
                    <w:rPr>
                      <w:sz w:val="17"/>
                      <w:szCs w:val="17"/>
                    </w:rPr>
                  </w:pPr>
                  <w:r w:rsidRPr="0090009A">
                    <w:rPr>
                      <w:sz w:val="17"/>
                      <w:szCs w:val="17"/>
                    </w:rPr>
                    <w:t>212</w:t>
                  </w:r>
                  <w:r w:rsidRPr="0090009A">
                    <w:rPr>
                      <w:sz w:val="17"/>
                      <w:szCs w:val="17"/>
                    </w:rPr>
                    <w:br/>
                    <w:t>(100%)</w:t>
                  </w:r>
                </w:p>
              </w:tc>
            </w:tr>
            <w:tr w:rsidR="00450FC9" w:rsidRPr="003E7106" w:rsidTr="007C56CE">
              <w:trPr>
                <w:cantSplit/>
              </w:trPr>
              <w:tc>
                <w:tcPr>
                  <w:tcW w:w="1639" w:type="dxa"/>
                  <w:tcBorders>
                    <w:top w:val="nil"/>
                    <w:bottom w:val="nil"/>
                  </w:tcBorders>
                  <w:shd w:val="clear" w:color="auto" w:fill="auto"/>
                </w:tcPr>
                <w:p w:rsidR="00450FC9" w:rsidRPr="0090009A" w:rsidRDefault="00450FC9" w:rsidP="006955FC">
                  <w:pPr>
                    <w:pStyle w:val="TableText"/>
                    <w:spacing w:before="0"/>
                    <w:rPr>
                      <w:sz w:val="17"/>
                      <w:szCs w:val="17"/>
                    </w:rPr>
                  </w:pPr>
                  <w:r w:rsidRPr="0090009A">
                    <w:rPr>
                      <w:sz w:val="17"/>
                      <w:szCs w:val="17"/>
                    </w:rPr>
                    <w:t>51−100</w:t>
                  </w:r>
                </w:p>
              </w:tc>
              <w:tc>
                <w:tcPr>
                  <w:tcW w:w="1720" w:type="dxa"/>
                  <w:tcBorders>
                    <w:top w:val="nil"/>
                    <w:bottom w:val="nil"/>
                  </w:tcBorders>
                  <w:shd w:val="clear" w:color="auto" w:fill="auto"/>
                </w:tcPr>
                <w:p w:rsidR="00450FC9" w:rsidRPr="0090009A" w:rsidRDefault="00450FC9" w:rsidP="0090009A">
                  <w:pPr>
                    <w:pStyle w:val="TableText"/>
                    <w:spacing w:before="0"/>
                    <w:jc w:val="center"/>
                    <w:rPr>
                      <w:sz w:val="17"/>
                      <w:szCs w:val="17"/>
                    </w:rPr>
                  </w:pPr>
                  <w:r w:rsidRPr="0090009A">
                    <w:rPr>
                      <w:sz w:val="17"/>
                      <w:szCs w:val="17"/>
                    </w:rPr>
                    <w:t>72</w:t>
                  </w:r>
                  <w:r w:rsidRPr="0090009A">
                    <w:rPr>
                      <w:sz w:val="17"/>
                      <w:szCs w:val="17"/>
                    </w:rPr>
                    <w:br/>
                    <w:t>(15%)</w:t>
                  </w:r>
                </w:p>
              </w:tc>
              <w:tc>
                <w:tcPr>
                  <w:tcW w:w="1527" w:type="dxa"/>
                  <w:tcBorders>
                    <w:top w:val="nil"/>
                    <w:bottom w:val="nil"/>
                  </w:tcBorders>
                  <w:shd w:val="clear" w:color="auto" w:fill="auto"/>
                </w:tcPr>
                <w:p w:rsidR="00450FC9" w:rsidRPr="0090009A" w:rsidRDefault="00450FC9" w:rsidP="0090009A">
                  <w:pPr>
                    <w:pStyle w:val="TableText"/>
                    <w:spacing w:before="0"/>
                    <w:jc w:val="center"/>
                    <w:rPr>
                      <w:sz w:val="17"/>
                      <w:szCs w:val="17"/>
                    </w:rPr>
                  </w:pPr>
                  <w:r w:rsidRPr="0090009A">
                    <w:rPr>
                      <w:sz w:val="17"/>
                      <w:szCs w:val="17"/>
                    </w:rPr>
                    <w:t>196</w:t>
                  </w:r>
                  <w:r w:rsidRPr="0090009A">
                    <w:rPr>
                      <w:sz w:val="17"/>
                      <w:szCs w:val="17"/>
                    </w:rPr>
                    <w:br/>
                    <w:t>(40%)</w:t>
                  </w:r>
                </w:p>
              </w:tc>
              <w:tc>
                <w:tcPr>
                  <w:tcW w:w="1528" w:type="dxa"/>
                  <w:tcBorders>
                    <w:top w:val="nil"/>
                    <w:bottom w:val="nil"/>
                  </w:tcBorders>
                  <w:shd w:val="clear" w:color="auto" w:fill="auto"/>
                </w:tcPr>
                <w:p w:rsidR="00450FC9" w:rsidRPr="0090009A" w:rsidRDefault="00450FC9" w:rsidP="0090009A">
                  <w:pPr>
                    <w:pStyle w:val="TableText"/>
                    <w:spacing w:before="0"/>
                    <w:jc w:val="center"/>
                    <w:rPr>
                      <w:sz w:val="17"/>
                      <w:szCs w:val="17"/>
                    </w:rPr>
                  </w:pPr>
                  <w:r w:rsidRPr="0090009A">
                    <w:rPr>
                      <w:sz w:val="17"/>
                      <w:szCs w:val="17"/>
                    </w:rPr>
                    <w:t>65</w:t>
                  </w:r>
                  <w:r w:rsidRPr="0090009A">
                    <w:rPr>
                      <w:sz w:val="17"/>
                      <w:szCs w:val="17"/>
                    </w:rPr>
                    <w:br/>
                    <w:t>(13%)</w:t>
                  </w:r>
                </w:p>
              </w:tc>
              <w:tc>
                <w:tcPr>
                  <w:tcW w:w="1528" w:type="dxa"/>
                  <w:tcBorders>
                    <w:top w:val="nil"/>
                    <w:bottom w:val="nil"/>
                  </w:tcBorders>
                  <w:shd w:val="clear" w:color="auto" w:fill="auto"/>
                </w:tcPr>
                <w:p w:rsidR="00450FC9" w:rsidRPr="0090009A" w:rsidRDefault="00450FC9" w:rsidP="0090009A">
                  <w:pPr>
                    <w:pStyle w:val="TableText"/>
                    <w:spacing w:before="0"/>
                    <w:jc w:val="center"/>
                    <w:rPr>
                      <w:sz w:val="17"/>
                      <w:szCs w:val="17"/>
                    </w:rPr>
                  </w:pPr>
                  <w:r w:rsidRPr="0090009A">
                    <w:rPr>
                      <w:sz w:val="17"/>
                      <w:szCs w:val="17"/>
                    </w:rPr>
                    <w:t>162</w:t>
                  </w:r>
                  <w:r w:rsidRPr="0090009A">
                    <w:rPr>
                      <w:sz w:val="17"/>
                      <w:szCs w:val="17"/>
                    </w:rPr>
                    <w:br/>
                    <w:t>(33%)</w:t>
                  </w:r>
                </w:p>
              </w:tc>
              <w:tc>
                <w:tcPr>
                  <w:tcW w:w="1300" w:type="dxa"/>
                  <w:tcBorders>
                    <w:top w:val="nil"/>
                    <w:bottom w:val="nil"/>
                  </w:tcBorders>
                  <w:shd w:val="clear" w:color="auto" w:fill="auto"/>
                </w:tcPr>
                <w:p w:rsidR="00450FC9" w:rsidRPr="0090009A" w:rsidRDefault="00450FC9" w:rsidP="0090009A">
                  <w:pPr>
                    <w:pStyle w:val="TableText"/>
                    <w:spacing w:before="0"/>
                    <w:jc w:val="center"/>
                    <w:rPr>
                      <w:sz w:val="17"/>
                      <w:szCs w:val="17"/>
                    </w:rPr>
                  </w:pPr>
                  <w:r w:rsidRPr="0090009A">
                    <w:rPr>
                      <w:sz w:val="17"/>
                      <w:szCs w:val="17"/>
                    </w:rPr>
                    <w:t>496</w:t>
                  </w:r>
                  <w:r w:rsidRPr="0090009A">
                    <w:rPr>
                      <w:sz w:val="17"/>
                      <w:szCs w:val="17"/>
                    </w:rPr>
                    <w:br/>
                    <w:t>(100%)</w:t>
                  </w:r>
                </w:p>
              </w:tc>
            </w:tr>
            <w:tr w:rsidR="00450FC9" w:rsidRPr="003E7106" w:rsidTr="007C56CE">
              <w:trPr>
                <w:cantSplit/>
              </w:trPr>
              <w:tc>
                <w:tcPr>
                  <w:tcW w:w="1639" w:type="dxa"/>
                  <w:tcBorders>
                    <w:top w:val="nil"/>
                    <w:bottom w:val="nil"/>
                  </w:tcBorders>
                  <w:shd w:val="clear" w:color="auto" w:fill="auto"/>
                </w:tcPr>
                <w:p w:rsidR="00450FC9" w:rsidRPr="0090009A" w:rsidRDefault="00450FC9" w:rsidP="006955FC">
                  <w:pPr>
                    <w:pStyle w:val="TableText"/>
                    <w:spacing w:before="0"/>
                    <w:rPr>
                      <w:sz w:val="17"/>
                      <w:szCs w:val="17"/>
                    </w:rPr>
                  </w:pPr>
                  <w:r w:rsidRPr="0090009A">
                    <w:rPr>
                      <w:sz w:val="17"/>
                      <w:szCs w:val="17"/>
                    </w:rPr>
                    <w:t>101−200</w:t>
                  </w:r>
                </w:p>
              </w:tc>
              <w:tc>
                <w:tcPr>
                  <w:tcW w:w="1720" w:type="dxa"/>
                  <w:tcBorders>
                    <w:top w:val="nil"/>
                    <w:bottom w:val="nil"/>
                  </w:tcBorders>
                  <w:shd w:val="clear" w:color="auto" w:fill="auto"/>
                </w:tcPr>
                <w:p w:rsidR="00450FC9" w:rsidRPr="0090009A" w:rsidRDefault="00450FC9" w:rsidP="0090009A">
                  <w:pPr>
                    <w:pStyle w:val="TableText"/>
                    <w:spacing w:before="0"/>
                    <w:jc w:val="center"/>
                    <w:rPr>
                      <w:sz w:val="17"/>
                      <w:szCs w:val="17"/>
                    </w:rPr>
                  </w:pPr>
                  <w:r w:rsidRPr="0090009A">
                    <w:rPr>
                      <w:sz w:val="17"/>
                      <w:szCs w:val="17"/>
                    </w:rPr>
                    <w:t>163</w:t>
                  </w:r>
                  <w:r w:rsidRPr="0090009A">
                    <w:rPr>
                      <w:sz w:val="17"/>
                      <w:szCs w:val="17"/>
                    </w:rPr>
                    <w:br/>
                    <w:t>(21%)</w:t>
                  </w:r>
                </w:p>
              </w:tc>
              <w:tc>
                <w:tcPr>
                  <w:tcW w:w="1527" w:type="dxa"/>
                  <w:tcBorders>
                    <w:top w:val="nil"/>
                    <w:bottom w:val="nil"/>
                  </w:tcBorders>
                  <w:shd w:val="clear" w:color="auto" w:fill="auto"/>
                </w:tcPr>
                <w:p w:rsidR="00450FC9" w:rsidRPr="0090009A" w:rsidRDefault="00450FC9" w:rsidP="0090009A">
                  <w:pPr>
                    <w:pStyle w:val="TableText"/>
                    <w:spacing w:before="0"/>
                    <w:jc w:val="center"/>
                    <w:rPr>
                      <w:sz w:val="17"/>
                      <w:szCs w:val="17"/>
                    </w:rPr>
                  </w:pPr>
                  <w:r w:rsidRPr="0090009A">
                    <w:rPr>
                      <w:sz w:val="17"/>
                      <w:szCs w:val="17"/>
                    </w:rPr>
                    <w:t>289</w:t>
                  </w:r>
                  <w:r w:rsidRPr="0090009A">
                    <w:rPr>
                      <w:sz w:val="17"/>
                      <w:szCs w:val="17"/>
                    </w:rPr>
                    <w:br/>
                    <w:t>(37%)</w:t>
                  </w:r>
                </w:p>
              </w:tc>
              <w:tc>
                <w:tcPr>
                  <w:tcW w:w="1528" w:type="dxa"/>
                  <w:tcBorders>
                    <w:top w:val="nil"/>
                    <w:bottom w:val="nil"/>
                  </w:tcBorders>
                  <w:shd w:val="clear" w:color="auto" w:fill="auto"/>
                </w:tcPr>
                <w:p w:rsidR="00450FC9" w:rsidRPr="0090009A" w:rsidRDefault="00450FC9" w:rsidP="0090009A">
                  <w:pPr>
                    <w:pStyle w:val="TableText"/>
                    <w:spacing w:before="0"/>
                    <w:jc w:val="center"/>
                    <w:rPr>
                      <w:sz w:val="17"/>
                      <w:szCs w:val="17"/>
                    </w:rPr>
                  </w:pPr>
                  <w:r w:rsidRPr="0090009A">
                    <w:rPr>
                      <w:sz w:val="17"/>
                      <w:szCs w:val="17"/>
                    </w:rPr>
                    <w:t>199</w:t>
                  </w:r>
                  <w:r w:rsidRPr="0090009A">
                    <w:rPr>
                      <w:sz w:val="17"/>
                      <w:szCs w:val="17"/>
                    </w:rPr>
                    <w:br/>
                    <w:t>(25%)</w:t>
                  </w:r>
                </w:p>
              </w:tc>
              <w:tc>
                <w:tcPr>
                  <w:tcW w:w="1528" w:type="dxa"/>
                  <w:tcBorders>
                    <w:top w:val="nil"/>
                    <w:bottom w:val="nil"/>
                  </w:tcBorders>
                  <w:shd w:val="clear" w:color="auto" w:fill="auto"/>
                </w:tcPr>
                <w:p w:rsidR="00450FC9" w:rsidRPr="0090009A" w:rsidRDefault="00450FC9" w:rsidP="0090009A">
                  <w:pPr>
                    <w:pStyle w:val="TableText"/>
                    <w:spacing w:before="0"/>
                    <w:jc w:val="center"/>
                    <w:rPr>
                      <w:sz w:val="17"/>
                      <w:szCs w:val="17"/>
                    </w:rPr>
                  </w:pPr>
                  <w:r w:rsidRPr="0090009A">
                    <w:rPr>
                      <w:sz w:val="17"/>
                      <w:szCs w:val="17"/>
                    </w:rPr>
                    <w:t>133</w:t>
                  </w:r>
                  <w:r w:rsidRPr="0090009A">
                    <w:rPr>
                      <w:sz w:val="17"/>
                      <w:szCs w:val="17"/>
                    </w:rPr>
                    <w:br/>
                    <w:t>(17%)</w:t>
                  </w:r>
                </w:p>
              </w:tc>
              <w:tc>
                <w:tcPr>
                  <w:tcW w:w="1300" w:type="dxa"/>
                  <w:tcBorders>
                    <w:top w:val="nil"/>
                    <w:bottom w:val="nil"/>
                  </w:tcBorders>
                  <w:shd w:val="clear" w:color="auto" w:fill="auto"/>
                </w:tcPr>
                <w:p w:rsidR="00450FC9" w:rsidRPr="0090009A" w:rsidRDefault="00450FC9" w:rsidP="0090009A">
                  <w:pPr>
                    <w:pStyle w:val="TableText"/>
                    <w:spacing w:before="0"/>
                    <w:jc w:val="center"/>
                    <w:rPr>
                      <w:sz w:val="17"/>
                      <w:szCs w:val="17"/>
                    </w:rPr>
                  </w:pPr>
                  <w:r w:rsidRPr="0090009A">
                    <w:rPr>
                      <w:sz w:val="17"/>
                      <w:szCs w:val="17"/>
                    </w:rPr>
                    <w:t>783</w:t>
                  </w:r>
                  <w:r w:rsidRPr="0090009A">
                    <w:rPr>
                      <w:sz w:val="17"/>
                      <w:szCs w:val="17"/>
                    </w:rPr>
                    <w:br/>
                    <w:t>(100%)</w:t>
                  </w:r>
                </w:p>
              </w:tc>
            </w:tr>
            <w:tr w:rsidR="00450FC9" w:rsidRPr="003E7106" w:rsidTr="007C56CE">
              <w:trPr>
                <w:cantSplit/>
              </w:trPr>
              <w:tc>
                <w:tcPr>
                  <w:tcW w:w="1639" w:type="dxa"/>
                  <w:tcBorders>
                    <w:top w:val="nil"/>
                    <w:bottom w:val="nil"/>
                  </w:tcBorders>
                  <w:shd w:val="clear" w:color="auto" w:fill="auto"/>
                </w:tcPr>
                <w:p w:rsidR="00450FC9" w:rsidRPr="0090009A" w:rsidRDefault="00450FC9" w:rsidP="006955FC">
                  <w:pPr>
                    <w:pStyle w:val="TableText"/>
                    <w:spacing w:before="0"/>
                    <w:rPr>
                      <w:sz w:val="17"/>
                      <w:szCs w:val="17"/>
                    </w:rPr>
                  </w:pPr>
                  <w:r w:rsidRPr="0090009A">
                    <w:rPr>
                      <w:sz w:val="17"/>
                      <w:szCs w:val="17"/>
                    </w:rPr>
                    <w:t>201−300</w:t>
                  </w:r>
                </w:p>
              </w:tc>
              <w:tc>
                <w:tcPr>
                  <w:tcW w:w="1720" w:type="dxa"/>
                  <w:tcBorders>
                    <w:top w:val="nil"/>
                    <w:bottom w:val="nil"/>
                  </w:tcBorders>
                  <w:shd w:val="clear" w:color="auto" w:fill="auto"/>
                </w:tcPr>
                <w:p w:rsidR="00450FC9" w:rsidRPr="0090009A" w:rsidRDefault="00450FC9" w:rsidP="0090009A">
                  <w:pPr>
                    <w:pStyle w:val="TableText"/>
                    <w:spacing w:before="0"/>
                    <w:jc w:val="center"/>
                    <w:rPr>
                      <w:sz w:val="17"/>
                      <w:szCs w:val="17"/>
                    </w:rPr>
                  </w:pPr>
                  <w:r w:rsidRPr="0090009A">
                    <w:rPr>
                      <w:sz w:val="17"/>
                      <w:szCs w:val="17"/>
                    </w:rPr>
                    <w:t>63</w:t>
                  </w:r>
                  <w:r w:rsidRPr="0090009A">
                    <w:rPr>
                      <w:sz w:val="17"/>
                      <w:szCs w:val="17"/>
                    </w:rPr>
                    <w:br/>
                    <w:t>(12%)</w:t>
                  </w:r>
                </w:p>
              </w:tc>
              <w:tc>
                <w:tcPr>
                  <w:tcW w:w="1527" w:type="dxa"/>
                  <w:tcBorders>
                    <w:top w:val="nil"/>
                    <w:bottom w:val="nil"/>
                  </w:tcBorders>
                  <w:shd w:val="clear" w:color="auto" w:fill="auto"/>
                </w:tcPr>
                <w:p w:rsidR="00450FC9" w:rsidRPr="0090009A" w:rsidRDefault="00450FC9" w:rsidP="0090009A">
                  <w:pPr>
                    <w:pStyle w:val="TableText"/>
                    <w:spacing w:before="0"/>
                    <w:jc w:val="center"/>
                    <w:rPr>
                      <w:sz w:val="17"/>
                      <w:szCs w:val="17"/>
                    </w:rPr>
                  </w:pPr>
                  <w:r w:rsidRPr="0090009A">
                    <w:rPr>
                      <w:sz w:val="17"/>
                      <w:szCs w:val="17"/>
                    </w:rPr>
                    <w:t>185</w:t>
                  </w:r>
                  <w:r w:rsidRPr="0090009A">
                    <w:rPr>
                      <w:sz w:val="17"/>
                      <w:szCs w:val="17"/>
                    </w:rPr>
                    <w:br/>
                    <w:t>(34%)</w:t>
                  </w:r>
                </w:p>
              </w:tc>
              <w:tc>
                <w:tcPr>
                  <w:tcW w:w="1528" w:type="dxa"/>
                  <w:tcBorders>
                    <w:top w:val="nil"/>
                    <w:bottom w:val="nil"/>
                  </w:tcBorders>
                  <w:shd w:val="clear" w:color="auto" w:fill="auto"/>
                </w:tcPr>
                <w:p w:rsidR="00450FC9" w:rsidRPr="0090009A" w:rsidRDefault="00450FC9" w:rsidP="0090009A">
                  <w:pPr>
                    <w:pStyle w:val="TableText"/>
                    <w:spacing w:before="0"/>
                    <w:jc w:val="center"/>
                    <w:rPr>
                      <w:sz w:val="17"/>
                      <w:szCs w:val="17"/>
                    </w:rPr>
                  </w:pPr>
                  <w:r w:rsidRPr="0090009A">
                    <w:rPr>
                      <w:sz w:val="17"/>
                      <w:szCs w:val="17"/>
                    </w:rPr>
                    <w:t>112</w:t>
                  </w:r>
                  <w:r w:rsidRPr="0090009A">
                    <w:rPr>
                      <w:sz w:val="17"/>
                      <w:szCs w:val="17"/>
                    </w:rPr>
                    <w:br/>
                    <w:t>(21%)</w:t>
                  </w:r>
                </w:p>
              </w:tc>
              <w:tc>
                <w:tcPr>
                  <w:tcW w:w="1528" w:type="dxa"/>
                  <w:tcBorders>
                    <w:top w:val="nil"/>
                    <w:bottom w:val="nil"/>
                  </w:tcBorders>
                  <w:shd w:val="clear" w:color="auto" w:fill="auto"/>
                </w:tcPr>
                <w:p w:rsidR="00450FC9" w:rsidRPr="0090009A" w:rsidRDefault="00450FC9" w:rsidP="0090009A">
                  <w:pPr>
                    <w:pStyle w:val="TableText"/>
                    <w:spacing w:before="0"/>
                    <w:jc w:val="center"/>
                    <w:rPr>
                      <w:sz w:val="17"/>
                      <w:szCs w:val="17"/>
                    </w:rPr>
                  </w:pPr>
                  <w:r w:rsidRPr="0090009A">
                    <w:rPr>
                      <w:sz w:val="17"/>
                      <w:szCs w:val="17"/>
                    </w:rPr>
                    <w:t>177</w:t>
                  </w:r>
                  <w:r w:rsidRPr="0090009A">
                    <w:rPr>
                      <w:sz w:val="17"/>
                      <w:szCs w:val="17"/>
                    </w:rPr>
                    <w:br/>
                    <w:t>(33%)</w:t>
                  </w:r>
                </w:p>
              </w:tc>
              <w:tc>
                <w:tcPr>
                  <w:tcW w:w="1300" w:type="dxa"/>
                  <w:tcBorders>
                    <w:top w:val="nil"/>
                    <w:bottom w:val="nil"/>
                  </w:tcBorders>
                  <w:shd w:val="clear" w:color="auto" w:fill="auto"/>
                </w:tcPr>
                <w:p w:rsidR="00450FC9" w:rsidRPr="0090009A" w:rsidRDefault="00450FC9" w:rsidP="0090009A">
                  <w:pPr>
                    <w:pStyle w:val="TableText"/>
                    <w:spacing w:before="0"/>
                    <w:jc w:val="center"/>
                    <w:rPr>
                      <w:sz w:val="17"/>
                      <w:szCs w:val="17"/>
                    </w:rPr>
                  </w:pPr>
                  <w:r w:rsidRPr="0090009A">
                    <w:rPr>
                      <w:sz w:val="17"/>
                      <w:szCs w:val="17"/>
                    </w:rPr>
                    <w:t>537</w:t>
                  </w:r>
                  <w:r w:rsidRPr="0090009A">
                    <w:rPr>
                      <w:sz w:val="17"/>
                      <w:szCs w:val="17"/>
                    </w:rPr>
                    <w:br/>
                    <w:t>(100%)</w:t>
                  </w:r>
                </w:p>
              </w:tc>
            </w:tr>
            <w:tr w:rsidR="00450FC9" w:rsidRPr="003E7106" w:rsidTr="007C56CE">
              <w:trPr>
                <w:cantSplit/>
              </w:trPr>
              <w:tc>
                <w:tcPr>
                  <w:tcW w:w="1639" w:type="dxa"/>
                  <w:tcBorders>
                    <w:top w:val="nil"/>
                    <w:bottom w:val="nil"/>
                  </w:tcBorders>
                  <w:shd w:val="clear" w:color="auto" w:fill="auto"/>
                </w:tcPr>
                <w:p w:rsidR="00450FC9" w:rsidRPr="0090009A" w:rsidRDefault="00450FC9" w:rsidP="006955FC">
                  <w:pPr>
                    <w:pStyle w:val="TableText"/>
                    <w:spacing w:before="0"/>
                    <w:rPr>
                      <w:sz w:val="17"/>
                      <w:szCs w:val="17"/>
                    </w:rPr>
                  </w:pPr>
                  <w:r w:rsidRPr="0090009A">
                    <w:rPr>
                      <w:sz w:val="17"/>
                      <w:szCs w:val="17"/>
                    </w:rPr>
                    <w:t>301−600</w:t>
                  </w:r>
                </w:p>
              </w:tc>
              <w:tc>
                <w:tcPr>
                  <w:tcW w:w="1720" w:type="dxa"/>
                  <w:tcBorders>
                    <w:top w:val="nil"/>
                    <w:bottom w:val="nil"/>
                  </w:tcBorders>
                  <w:shd w:val="clear" w:color="auto" w:fill="auto"/>
                </w:tcPr>
                <w:p w:rsidR="00450FC9" w:rsidRPr="0090009A" w:rsidRDefault="00450FC9" w:rsidP="0090009A">
                  <w:pPr>
                    <w:pStyle w:val="TableText"/>
                    <w:spacing w:before="0"/>
                    <w:jc w:val="center"/>
                    <w:rPr>
                      <w:sz w:val="17"/>
                      <w:szCs w:val="17"/>
                    </w:rPr>
                  </w:pPr>
                  <w:r w:rsidRPr="0090009A">
                    <w:rPr>
                      <w:sz w:val="17"/>
                      <w:szCs w:val="17"/>
                    </w:rPr>
                    <w:t>335</w:t>
                  </w:r>
                  <w:r w:rsidRPr="0090009A">
                    <w:rPr>
                      <w:sz w:val="17"/>
                      <w:szCs w:val="17"/>
                    </w:rPr>
                    <w:br/>
                    <w:t>(27%)</w:t>
                  </w:r>
                </w:p>
              </w:tc>
              <w:tc>
                <w:tcPr>
                  <w:tcW w:w="1527" w:type="dxa"/>
                  <w:tcBorders>
                    <w:top w:val="nil"/>
                    <w:bottom w:val="nil"/>
                  </w:tcBorders>
                  <w:shd w:val="clear" w:color="auto" w:fill="auto"/>
                </w:tcPr>
                <w:p w:rsidR="00450FC9" w:rsidRPr="0090009A" w:rsidRDefault="00450FC9" w:rsidP="0090009A">
                  <w:pPr>
                    <w:pStyle w:val="TableText"/>
                    <w:spacing w:before="0"/>
                    <w:jc w:val="center"/>
                    <w:rPr>
                      <w:sz w:val="17"/>
                      <w:szCs w:val="17"/>
                    </w:rPr>
                  </w:pPr>
                  <w:r w:rsidRPr="0090009A">
                    <w:rPr>
                      <w:sz w:val="17"/>
                      <w:szCs w:val="17"/>
                    </w:rPr>
                    <w:t>586</w:t>
                  </w:r>
                  <w:r w:rsidRPr="0090009A">
                    <w:rPr>
                      <w:sz w:val="17"/>
                      <w:szCs w:val="17"/>
                    </w:rPr>
                    <w:br/>
                    <w:t>(48%)</w:t>
                  </w:r>
                </w:p>
              </w:tc>
              <w:tc>
                <w:tcPr>
                  <w:tcW w:w="1528" w:type="dxa"/>
                  <w:tcBorders>
                    <w:top w:val="nil"/>
                    <w:bottom w:val="nil"/>
                  </w:tcBorders>
                  <w:shd w:val="clear" w:color="auto" w:fill="auto"/>
                </w:tcPr>
                <w:p w:rsidR="00450FC9" w:rsidRPr="0090009A" w:rsidRDefault="00450FC9" w:rsidP="0090009A">
                  <w:pPr>
                    <w:pStyle w:val="TableText"/>
                    <w:spacing w:before="0"/>
                    <w:jc w:val="center"/>
                    <w:rPr>
                      <w:sz w:val="17"/>
                      <w:szCs w:val="17"/>
                    </w:rPr>
                  </w:pPr>
                  <w:r w:rsidRPr="0090009A">
                    <w:rPr>
                      <w:sz w:val="17"/>
                      <w:szCs w:val="17"/>
                    </w:rPr>
                    <w:t>201</w:t>
                  </w:r>
                  <w:r w:rsidRPr="0090009A">
                    <w:rPr>
                      <w:sz w:val="17"/>
                      <w:szCs w:val="17"/>
                    </w:rPr>
                    <w:br/>
                    <w:t>(16%)</w:t>
                  </w:r>
                </w:p>
              </w:tc>
              <w:tc>
                <w:tcPr>
                  <w:tcW w:w="1528" w:type="dxa"/>
                  <w:tcBorders>
                    <w:top w:val="nil"/>
                    <w:bottom w:val="nil"/>
                  </w:tcBorders>
                  <w:shd w:val="clear" w:color="auto" w:fill="auto"/>
                </w:tcPr>
                <w:p w:rsidR="00450FC9" w:rsidRPr="0090009A" w:rsidRDefault="00450FC9" w:rsidP="0090009A">
                  <w:pPr>
                    <w:pStyle w:val="TableText"/>
                    <w:spacing w:before="0"/>
                    <w:jc w:val="center"/>
                    <w:rPr>
                      <w:sz w:val="17"/>
                      <w:szCs w:val="17"/>
                    </w:rPr>
                  </w:pPr>
                  <w:r w:rsidRPr="0090009A">
                    <w:rPr>
                      <w:sz w:val="17"/>
                      <w:szCs w:val="17"/>
                    </w:rPr>
                    <w:t>101</w:t>
                  </w:r>
                  <w:r w:rsidRPr="0090009A">
                    <w:rPr>
                      <w:sz w:val="17"/>
                      <w:szCs w:val="17"/>
                    </w:rPr>
                    <w:br/>
                    <w:t>(8%)</w:t>
                  </w:r>
                </w:p>
              </w:tc>
              <w:tc>
                <w:tcPr>
                  <w:tcW w:w="1300" w:type="dxa"/>
                  <w:tcBorders>
                    <w:top w:val="nil"/>
                    <w:bottom w:val="nil"/>
                  </w:tcBorders>
                  <w:shd w:val="clear" w:color="auto" w:fill="auto"/>
                </w:tcPr>
                <w:p w:rsidR="00450FC9" w:rsidRPr="0090009A" w:rsidRDefault="00450FC9" w:rsidP="0090009A">
                  <w:pPr>
                    <w:pStyle w:val="TableText"/>
                    <w:spacing w:before="0"/>
                    <w:jc w:val="center"/>
                    <w:rPr>
                      <w:sz w:val="17"/>
                      <w:szCs w:val="17"/>
                    </w:rPr>
                  </w:pPr>
                  <w:r w:rsidRPr="0090009A">
                    <w:rPr>
                      <w:sz w:val="17"/>
                      <w:szCs w:val="17"/>
                    </w:rPr>
                    <w:t>1222</w:t>
                  </w:r>
                  <w:r w:rsidRPr="0090009A">
                    <w:rPr>
                      <w:sz w:val="17"/>
                      <w:szCs w:val="17"/>
                    </w:rPr>
                    <w:br/>
                    <w:t>(100%)</w:t>
                  </w:r>
                </w:p>
              </w:tc>
            </w:tr>
            <w:tr w:rsidR="00450FC9" w:rsidRPr="003E7106" w:rsidTr="007C56CE">
              <w:trPr>
                <w:cantSplit/>
              </w:trPr>
              <w:tc>
                <w:tcPr>
                  <w:tcW w:w="1639" w:type="dxa"/>
                  <w:tcBorders>
                    <w:top w:val="nil"/>
                  </w:tcBorders>
                  <w:shd w:val="clear" w:color="auto" w:fill="auto"/>
                </w:tcPr>
                <w:p w:rsidR="00450FC9" w:rsidRPr="0090009A" w:rsidRDefault="00450FC9" w:rsidP="006955FC">
                  <w:pPr>
                    <w:pStyle w:val="TableText"/>
                    <w:spacing w:before="0"/>
                    <w:rPr>
                      <w:sz w:val="17"/>
                      <w:szCs w:val="17"/>
                    </w:rPr>
                  </w:pPr>
                  <w:r w:rsidRPr="0090009A">
                    <w:rPr>
                      <w:sz w:val="17"/>
                      <w:szCs w:val="17"/>
                    </w:rPr>
                    <w:t>1501+*</w:t>
                  </w:r>
                </w:p>
              </w:tc>
              <w:tc>
                <w:tcPr>
                  <w:tcW w:w="1720" w:type="dxa"/>
                  <w:tcBorders>
                    <w:top w:val="nil"/>
                  </w:tcBorders>
                  <w:shd w:val="clear" w:color="auto" w:fill="auto"/>
                </w:tcPr>
                <w:p w:rsidR="00450FC9" w:rsidRPr="0090009A" w:rsidRDefault="00450FC9" w:rsidP="0090009A">
                  <w:pPr>
                    <w:pStyle w:val="TableText"/>
                    <w:spacing w:before="0"/>
                    <w:jc w:val="center"/>
                    <w:rPr>
                      <w:sz w:val="17"/>
                      <w:szCs w:val="17"/>
                    </w:rPr>
                  </w:pPr>
                  <w:r w:rsidRPr="0090009A">
                    <w:rPr>
                      <w:sz w:val="17"/>
                      <w:szCs w:val="17"/>
                    </w:rPr>
                    <w:t>386</w:t>
                  </w:r>
                  <w:r w:rsidRPr="0090009A">
                    <w:rPr>
                      <w:sz w:val="17"/>
                      <w:szCs w:val="17"/>
                    </w:rPr>
                    <w:br/>
                    <w:t>(23%)</w:t>
                  </w:r>
                </w:p>
              </w:tc>
              <w:tc>
                <w:tcPr>
                  <w:tcW w:w="1527" w:type="dxa"/>
                  <w:tcBorders>
                    <w:top w:val="nil"/>
                  </w:tcBorders>
                  <w:shd w:val="clear" w:color="auto" w:fill="auto"/>
                </w:tcPr>
                <w:p w:rsidR="00450FC9" w:rsidRPr="0090009A" w:rsidRDefault="00450FC9" w:rsidP="0090009A">
                  <w:pPr>
                    <w:pStyle w:val="TableText"/>
                    <w:spacing w:before="0"/>
                    <w:jc w:val="center"/>
                    <w:rPr>
                      <w:sz w:val="17"/>
                      <w:szCs w:val="17"/>
                    </w:rPr>
                  </w:pPr>
                  <w:r w:rsidRPr="0090009A">
                    <w:rPr>
                      <w:sz w:val="17"/>
                      <w:szCs w:val="17"/>
                    </w:rPr>
                    <w:t>678</w:t>
                  </w:r>
                  <w:r w:rsidRPr="0090009A">
                    <w:rPr>
                      <w:sz w:val="17"/>
                      <w:szCs w:val="17"/>
                    </w:rPr>
                    <w:br/>
                    <w:t>(41%)</w:t>
                  </w:r>
                </w:p>
              </w:tc>
              <w:tc>
                <w:tcPr>
                  <w:tcW w:w="1528" w:type="dxa"/>
                  <w:tcBorders>
                    <w:top w:val="nil"/>
                  </w:tcBorders>
                  <w:shd w:val="clear" w:color="auto" w:fill="auto"/>
                </w:tcPr>
                <w:p w:rsidR="00450FC9" w:rsidRPr="0090009A" w:rsidRDefault="00450FC9" w:rsidP="0090009A">
                  <w:pPr>
                    <w:pStyle w:val="TableText"/>
                    <w:spacing w:before="0"/>
                    <w:jc w:val="center"/>
                    <w:rPr>
                      <w:sz w:val="17"/>
                      <w:szCs w:val="17"/>
                    </w:rPr>
                  </w:pPr>
                  <w:r w:rsidRPr="0090009A">
                    <w:rPr>
                      <w:sz w:val="17"/>
                      <w:szCs w:val="17"/>
                    </w:rPr>
                    <w:t>354</w:t>
                  </w:r>
                  <w:r w:rsidRPr="0090009A">
                    <w:rPr>
                      <w:sz w:val="17"/>
                      <w:szCs w:val="17"/>
                    </w:rPr>
                    <w:br/>
                    <w:t>(21%)</w:t>
                  </w:r>
                </w:p>
              </w:tc>
              <w:tc>
                <w:tcPr>
                  <w:tcW w:w="1528" w:type="dxa"/>
                  <w:tcBorders>
                    <w:top w:val="nil"/>
                  </w:tcBorders>
                  <w:shd w:val="clear" w:color="auto" w:fill="auto"/>
                </w:tcPr>
                <w:p w:rsidR="00450FC9" w:rsidRPr="0090009A" w:rsidRDefault="00450FC9" w:rsidP="0090009A">
                  <w:pPr>
                    <w:pStyle w:val="TableText"/>
                    <w:spacing w:before="0"/>
                    <w:jc w:val="center"/>
                    <w:rPr>
                      <w:sz w:val="17"/>
                      <w:szCs w:val="17"/>
                    </w:rPr>
                  </w:pPr>
                  <w:r w:rsidRPr="0090009A">
                    <w:rPr>
                      <w:sz w:val="17"/>
                      <w:szCs w:val="17"/>
                    </w:rPr>
                    <w:t xml:space="preserve">246 </w:t>
                  </w:r>
                  <w:r w:rsidRPr="0090009A">
                    <w:rPr>
                      <w:sz w:val="17"/>
                      <w:szCs w:val="17"/>
                    </w:rPr>
                    <w:br/>
                    <w:t>(15%)</w:t>
                  </w:r>
                </w:p>
              </w:tc>
              <w:tc>
                <w:tcPr>
                  <w:tcW w:w="1300" w:type="dxa"/>
                  <w:tcBorders>
                    <w:top w:val="nil"/>
                  </w:tcBorders>
                  <w:shd w:val="clear" w:color="auto" w:fill="auto"/>
                </w:tcPr>
                <w:p w:rsidR="00450FC9" w:rsidRPr="0090009A" w:rsidRDefault="00450FC9" w:rsidP="0090009A">
                  <w:pPr>
                    <w:pStyle w:val="TableText"/>
                    <w:spacing w:before="0"/>
                    <w:jc w:val="center"/>
                    <w:rPr>
                      <w:sz w:val="17"/>
                      <w:szCs w:val="17"/>
                    </w:rPr>
                  </w:pPr>
                  <w:r w:rsidRPr="0090009A">
                    <w:rPr>
                      <w:sz w:val="17"/>
                      <w:szCs w:val="17"/>
                    </w:rPr>
                    <w:t>1664</w:t>
                  </w:r>
                  <w:r w:rsidRPr="0090009A">
                    <w:rPr>
                      <w:sz w:val="17"/>
                      <w:szCs w:val="17"/>
                    </w:rPr>
                    <w:br/>
                    <w:t>(100%)</w:t>
                  </w:r>
                </w:p>
              </w:tc>
            </w:tr>
            <w:tr w:rsidR="00450FC9" w:rsidRPr="003E7106" w:rsidTr="007C56CE">
              <w:trPr>
                <w:cantSplit/>
              </w:trPr>
              <w:tc>
                <w:tcPr>
                  <w:tcW w:w="1639" w:type="dxa"/>
                  <w:shd w:val="clear" w:color="auto" w:fill="auto"/>
                </w:tcPr>
                <w:p w:rsidR="00450FC9" w:rsidRPr="0090009A" w:rsidRDefault="00450FC9" w:rsidP="006955FC">
                  <w:pPr>
                    <w:pStyle w:val="TableText"/>
                    <w:rPr>
                      <w:sz w:val="17"/>
                      <w:szCs w:val="17"/>
                    </w:rPr>
                  </w:pPr>
                  <w:r w:rsidRPr="0090009A">
                    <w:rPr>
                      <w:sz w:val="17"/>
                      <w:szCs w:val="17"/>
                    </w:rPr>
                    <w:t>Totals</w:t>
                  </w:r>
                </w:p>
              </w:tc>
              <w:tc>
                <w:tcPr>
                  <w:tcW w:w="1720" w:type="dxa"/>
                  <w:shd w:val="clear" w:color="auto" w:fill="auto"/>
                </w:tcPr>
                <w:p w:rsidR="00450FC9" w:rsidRPr="0090009A" w:rsidRDefault="00450FC9" w:rsidP="0090009A">
                  <w:pPr>
                    <w:pStyle w:val="TableText"/>
                    <w:jc w:val="center"/>
                    <w:rPr>
                      <w:sz w:val="17"/>
                      <w:szCs w:val="17"/>
                    </w:rPr>
                  </w:pPr>
                  <w:r w:rsidRPr="0090009A">
                    <w:rPr>
                      <w:sz w:val="17"/>
                      <w:szCs w:val="17"/>
                    </w:rPr>
                    <w:t>1036</w:t>
                  </w:r>
                  <w:r w:rsidRPr="0090009A">
                    <w:rPr>
                      <w:sz w:val="17"/>
                      <w:szCs w:val="17"/>
                    </w:rPr>
                    <w:br/>
                    <w:t>(21%)</w:t>
                  </w:r>
                </w:p>
              </w:tc>
              <w:tc>
                <w:tcPr>
                  <w:tcW w:w="1527" w:type="dxa"/>
                  <w:shd w:val="clear" w:color="auto" w:fill="auto"/>
                </w:tcPr>
                <w:p w:rsidR="00450FC9" w:rsidRPr="0090009A" w:rsidRDefault="00450FC9" w:rsidP="0090009A">
                  <w:pPr>
                    <w:pStyle w:val="TableText"/>
                    <w:jc w:val="center"/>
                    <w:rPr>
                      <w:sz w:val="17"/>
                      <w:szCs w:val="17"/>
                    </w:rPr>
                  </w:pPr>
                  <w:r w:rsidRPr="0090009A">
                    <w:rPr>
                      <w:sz w:val="17"/>
                      <w:szCs w:val="17"/>
                    </w:rPr>
                    <w:t>2008</w:t>
                  </w:r>
                  <w:r w:rsidRPr="0090009A">
                    <w:rPr>
                      <w:sz w:val="17"/>
                      <w:szCs w:val="17"/>
                    </w:rPr>
                    <w:br/>
                    <w:t>(41%)</w:t>
                  </w:r>
                </w:p>
              </w:tc>
              <w:tc>
                <w:tcPr>
                  <w:tcW w:w="1528" w:type="dxa"/>
                  <w:shd w:val="clear" w:color="auto" w:fill="auto"/>
                </w:tcPr>
                <w:p w:rsidR="00450FC9" w:rsidRPr="0090009A" w:rsidRDefault="00450FC9" w:rsidP="0090009A">
                  <w:pPr>
                    <w:pStyle w:val="TableText"/>
                    <w:jc w:val="center"/>
                    <w:rPr>
                      <w:sz w:val="17"/>
                      <w:szCs w:val="17"/>
                    </w:rPr>
                  </w:pPr>
                  <w:r w:rsidRPr="0090009A">
                    <w:rPr>
                      <w:sz w:val="17"/>
                      <w:szCs w:val="17"/>
                    </w:rPr>
                    <w:t>960</w:t>
                  </w:r>
                  <w:r w:rsidRPr="0090009A">
                    <w:rPr>
                      <w:sz w:val="17"/>
                      <w:szCs w:val="17"/>
                    </w:rPr>
                    <w:br/>
                    <w:t>(20%)</w:t>
                  </w:r>
                </w:p>
              </w:tc>
              <w:tc>
                <w:tcPr>
                  <w:tcW w:w="1528" w:type="dxa"/>
                  <w:shd w:val="clear" w:color="auto" w:fill="auto"/>
                </w:tcPr>
                <w:p w:rsidR="00450FC9" w:rsidRPr="0090009A" w:rsidRDefault="00450FC9" w:rsidP="0090009A">
                  <w:pPr>
                    <w:pStyle w:val="TableText"/>
                    <w:jc w:val="center"/>
                    <w:rPr>
                      <w:sz w:val="17"/>
                      <w:szCs w:val="17"/>
                    </w:rPr>
                  </w:pPr>
                  <w:r w:rsidRPr="0090009A">
                    <w:rPr>
                      <w:sz w:val="17"/>
                      <w:szCs w:val="17"/>
                    </w:rPr>
                    <w:t>909</w:t>
                  </w:r>
                  <w:r w:rsidRPr="0090009A">
                    <w:rPr>
                      <w:sz w:val="17"/>
                      <w:szCs w:val="17"/>
                    </w:rPr>
                    <w:br/>
                    <w:t>(19%)</w:t>
                  </w:r>
                </w:p>
              </w:tc>
              <w:tc>
                <w:tcPr>
                  <w:tcW w:w="1300" w:type="dxa"/>
                  <w:shd w:val="clear" w:color="auto" w:fill="auto"/>
                </w:tcPr>
                <w:p w:rsidR="00450FC9" w:rsidRPr="0090009A" w:rsidRDefault="00450FC9" w:rsidP="0090009A">
                  <w:pPr>
                    <w:pStyle w:val="TableText"/>
                    <w:jc w:val="center"/>
                    <w:rPr>
                      <w:sz w:val="17"/>
                      <w:szCs w:val="17"/>
                    </w:rPr>
                  </w:pPr>
                  <w:r w:rsidRPr="0090009A">
                    <w:rPr>
                      <w:sz w:val="17"/>
                      <w:szCs w:val="17"/>
                    </w:rPr>
                    <w:t>4913</w:t>
                  </w:r>
                  <w:r w:rsidRPr="0090009A">
                    <w:rPr>
                      <w:sz w:val="17"/>
                      <w:szCs w:val="17"/>
                    </w:rPr>
                    <w:br/>
                    <w:t>(100%)</w:t>
                  </w:r>
                </w:p>
              </w:tc>
            </w:tr>
          </w:tbl>
          <w:p w:rsidR="00450FC9" w:rsidRPr="003E7106" w:rsidRDefault="00450FC9" w:rsidP="00450FC9">
            <w:pPr>
              <w:pStyle w:val="Source"/>
            </w:pPr>
            <w:r w:rsidRPr="003E7106">
              <w:t>Source: Ministry of Health 2015 Home and Community Support Service Workforce Survey</w:t>
            </w:r>
          </w:p>
          <w:p w:rsidR="00450FC9" w:rsidRPr="003E7106" w:rsidRDefault="00450FC9" w:rsidP="00450FC9">
            <w:pPr>
              <w:pStyle w:val="Note"/>
              <w:rPr>
                <w:rFonts w:cs="Arial"/>
              </w:rPr>
            </w:pPr>
            <w:r w:rsidRPr="003E7106">
              <w:t>*</w:t>
            </w:r>
            <w:r w:rsidRPr="003E7106">
              <w:tab/>
              <w:t>There are no, or very few employers that have between 601 and 1500 employers in 2015.</w:t>
            </w:r>
          </w:p>
        </w:tc>
      </w:tr>
      <w:tr w:rsidR="00450FC9" w:rsidRPr="003E7106" w:rsidTr="00450FC9">
        <w:trPr>
          <w:cantSplit/>
        </w:trPr>
        <w:tc>
          <w:tcPr>
            <w:tcW w:w="2234" w:type="dxa"/>
            <w:tcBorders>
              <w:top w:val="nil"/>
              <w:left w:val="nil"/>
              <w:bottom w:val="nil"/>
              <w:right w:val="nil"/>
            </w:tcBorders>
            <w:shd w:val="clear" w:color="auto" w:fill="B8CCE4" w:themeFill="accent1" w:themeFillTint="66"/>
          </w:tcPr>
          <w:p w:rsidR="00450FC9" w:rsidRPr="003E7106" w:rsidRDefault="00450FC9" w:rsidP="00450FC9">
            <w:pPr>
              <w:pStyle w:val="Heading2"/>
            </w:pPr>
            <w:bookmarkStart w:id="71" w:name="_Toc423677691"/>
            <w:bookmarkStart w:id="72" w:name="_Toc426009412"/>
            <w:r w:rsidRPr="003E7106">
              <w:t>Union perspective</w:t>
            </w:r>
            <w:bookmarkEnd w:id="71"/>
            <w:bookmarkEnd w:id="72"/>
          </w:p>
        </w:tc>
        <w:tc>
          <w:tcPr>
            <w:tcW w:w="12333" w:type="dxa"/>
            <w:tcBorders>
              <w:top w:val="nil"/>
              <w:left w:val="nil"/>
              <w:bottom w:val="nil"/>
              <w:right w:val="nil"/>
            </w:tcBorders>
            <w:shd w:val="clear" w:color="auto" w:fill="auto"/>
          </w:tcPr>
          <w:p w:rsidR="00450FC9" w:rsidRPr="003E7106" w:rsidRDefault="00450FC9" w:rsidP="00450FC9">
            <w:pPr>
              <w:pStyle w:val="TableText"/>
              <w:rPr>
                <w:rFonts w:cs="Arial"/>
              </w:rPr>
            </w:pPr>
            <w:r w:rsidRPr="003E7106">
              <w:rPr>
                <w:rFonts w:cs="Arial"/>
              </w:rPr>
              <w:t>The unions acknowledge the variability in client need and the impact of funding linked to service provision, but consider that an unknown but significant proportion of Support Workers have regular and consistent work patterns, suggesting a high percentage of the workforce can be employed with ongoing guaranteed hours of work.</w:t>
            </w:r>
          </w:p>
          <w:p w:rsidR="00450FC9" w:rsidRPr="003E7106" w:rsidRDefault="00450FC9" w:rsidP="00450FC9">
            <w:pPr>
              <w:pStyle w:val="TableText"/>
              <w:rPr>
                <w:rFonts w:cs="Arial"/>
              </w:rPr>
            </w:pPr>
            <w:r w:rsidRPr="003E7106">
              <w:rPr>
                <w:rFonts w:cs="Arial"/>
              </w:rPr>
              <w:t>The unions consider that the fewer the number of Support Workers who have guaranteed hours and the smaller the percentage of hours guaranteed, the greater the risk that a Support Worker’s rights under the Employment Relations Act to an ongoing expectation of work and good faith consultation (in regard to changes in hours of work) are being breached. The unions consider that an ongoing risk will remain for any Support Worker who is not specifically employed on a casual or fixed-term basis and whose work pattern is not consistent with that employment arrangement (as defined in the Employment Relations Act and case law).</w:t>
            </w:r>
          </w:p>
          <w:p w:rsidR="00450FC9" w:rsidRPr="003E7106" w:rsidRDefault="00450FC9" w:rsidP="00115FF8">
            <w:pPr>
              <w:pStyle w:val="TableText"/>
              <w:rPr>
                <w:rFonts w:cs="Arial"/>
              </w:rPr>
            </w:pPr>
            <w:r w:rsidRPr="003E7106">
              <w:rPr>
                <w:rFonts w:cs="Arial"/>
              </w:rPr>
              <w:t>The unions acknowledge that in many circumstances it is not appropriate for Support Workers to vary from rostered clients and service delivery times; for example, where clients require medication or require support in order to be ready to start work at a specific time. However, the unions also consider that with teams of Support Workers, where possible in less critical situations, Support Workers and their clients could maintain some flexibility to vary rosters to accommodate unplanned events.</w:t>
            </w:r>
          </w:p>
        </w:tc>
      </w:tr>
      <w:tr w:rsidR="00450FC9" w:rsidRPr="003E7106" w:rsidTr="00450FC9">
        <w:trPr>
          <w:cantSplit/>
        </w:trPr>
        <w:tc>
          <w:tcPr>
            <w:tcW w:w="2234" w:type="dxa"/>
            <w:tcBorders>
              <w:top w:val="nil"/>
              <w:left w:val="nil"/>
              <w:bottom w:val="nil"/>
              <w:right w:val="nil"/>
            </w:tcBorders>
            <w:shd w:val="clear" w:color="auto" w:fill="B8CCE4" w:themeFill="accent1" w:themeFillTint="66"/>
          </w:tcPr>
          <w:p w:rsidR="00450FC9" w:rsidRPr="003E7106" w:rsidRDefault="00450FC9" w:rsidP="00450FC9">
            <w:pPr>
              <w:pStyle w:val="Heading2"/>
            </w:pPr>
            <w:bookmarkStart w:id="73" w:name="_Toc423677692"/>
            <w:bookmarkStart w:id="74" w:name="_Toc426009413"/>
            <w:r w:rsidRPr="003E7106">
              <w:t>Provider perspective</w:t>
            </w:r>
            <w:bookmarkEnd w:id="73"/>
            <w:bookmarkEnd w:id="74"/>
          </w:p>
        </w:tc>
        <w:tc>
          <w:tcPr>
            <w:tcW w:w="12333" w:type="dxa"/>
            <w:tcBorders>
              <w:top w:val="nil"/>
              <w:left w:val="nil"/>
              <w:bottom w:val="nil"/>
              <w:right w:val="nil"/>
            </w:tcBorders>
            <w:shd w:val="clear" w:color="auto" w:fill="auto"/>
          </w:tcPr>
          <w:p w:rsidR="00450FC9" w:rsidRPr="003E7106" w:rsidRDefault="00450FC9" w:rsidP="00450FC9">
            <w:pPr>
              <w:pStyle w:val="TableText"/>
              <w:rPr>
                <w:rFonts w:cs="Arial"/>
              </w:rPr>
            </w:pPr>
            <w:r w:rsidRPr="003E7106">
              <w:rPr>
                <w:rFonts w:cs="Arial"/>
              </w:rPr>
              <w:t>In general, providers favour a high percentage of the workforce having regular, ongoing guaranteed hours of work. The providers expect that guaranteeing a percentage of the Support Worker hours will generate efficiencies in training, rostering, administration and ability to meet unplanned immediate client need, and may increase the average hours worked per Support Worker (currently 21 hours per week).</w:t>
            </w:r>
          </w:p>
          <w:p w:rsidR="00450FC9" w:rsidRPr="003E7106" w:rsidRDefault="00450FC9" w:rsidP="00450FC9">
            <w:pPr>
              <w:pStyle w:val="TableText"/>
              <w:rPr>
                <w:rFonts w:cs="Arial"/>
              </w:rPr>
            </w:pPr>
            <w:r w:rsidRPr="003E7106">
              <w:t xml:space="preserve">The </w:t>
            </w:r>
            <w:r w:rsidRPr="003E7106">
              <w:rPr>
                <w:rFonts w:cs="Arial"/>
              </w:rPr>
              <w:t>providers note that the financial implications of being required to pay Support Workers for time spent travelling between clients (from 1 July 2015) and reimbursing a proportion of travelling costs (from 1 March 2016) will have a significant impact on Support Workers’ ability to vary from rostered times and clients. In general, providers do not support rosters being changed without their knowledge and agreement (for health and safety, service quality, administrative and efficiency reasons).</w:t>
            </w:r>
          </w:p>
          <w:p w:rsidR="00450FC9" w:rsidRPr="003E7106" w:rsidRDefault="00450FC9" w:rsidP="00450FC9">
            <w:pPr>
              <w:pStyle w:val="TableText"/>
              <w:rPr>
                <w:rFonts w:cs="Arial"/>
              </w:rPr>
            </w:pPr>
            <w:r w:rsidRPr="003E7106">
              <w:rPr>
                <w:rFonts w:cs="Arial"/>
              </w:rPr>
              <w:t>The providers consider that the higher the number of Support Workers who have guaranteed hours and the higher the percentage of hours guaranteed, the greater the potential financial risk of being required to pay a Support Worker, irrespective of whether or not the hours guaranteed have been worked (and therefore have generated revenue).</w:t>
            </w:r>
          </w:p>
          <w:p w:rsidR="00450FC9" w:rsidRPr="003E7106" w:rsidRDefault="00450FC9" w:rsidP="00115FF8">
            <w:pPr>
              <w:pStyle w:val="TableText"/>
              <w:rPr>
                <w:rFonts w:cs="Arial"/>
              </w:rPr>
            </w:pPr>
            <w:r w:rsidRPr="003E7106">
              <w:rPr>
                <w:rFonts w:cs="Arial"/>
              </w:rPr>
              <w:t>The providers propose that the financial risk of increasing the percentage of Support Workers being employed on guaranteed hours be recognised specifically in the price/cost model recommended for use in provider−DHB contract negotiations (set at present at a nominal level of 3%, which is subject to change), and that the price/cost model be used as the basis of negotiations between DHBs and providers.</w:t>
            </w:r>
          </w:p>
        </w:tc>
      </w:tr>
      <w:tr w:rsidR="00450FC9" w:rsidRPr="003E7106" w:rsidTr="00450FC9">
        <w:trPr>
          <w:cantSplit/>
        </w:trPr>
        <w:tc>
          <w:tcPr>
            <w:tcW w:w="2234" w:type="dxa"/>
            <w:tcBorders>
              <w:top w:val="nil"/>
              <w:left w:val="nil"/>
              <w:bottom w:val="nil"/>
              <w:right w:val="nil"/>
            </w:tcBorders>
            <w:shd w:val="clear" w:color="auto" w:fill="B8CCE4" w:themeFill="accent1" w:themeFillTint="66"/>
          </w:tcPr>
          <w:p w:rsidR="00450FC9" w:rsidRPr="003E7106" w:rsidRDefault="00450FC9" w:rsidP="00450FC9">
            <w:pPr>
              <w:pStyle w:val="Heading2"/>
            </w:pPr>
            <w:bookmarkStart w:id="75" w:name="_Toc426009414"/>
            <w:r w:rsidRPr="003E7106">
              <w:t>Agreed approach to measurement</w:t>
            </w:r>
            <w:bookmarkEnd w:id="75"/>
          </w:p>
        </w:tc>
        <w:tc>
          <w:tcPr>
            <w:tcW w:w="12333" w:type="dxa"/>
            <w:tcBorders>
              <w:top w:val="nil"/>
              <w:left w:val="nil"/>
              <w:bottom w:val="nil"/>
              <w:right w:val="nil"/>
            </w:tcBorders>
            <w:shd w:val="clear" w:color="auto" w:fill="auto"/>
          </w:tcPr>
          <w:p w:rsidR="00450FC9" w:rsidRPr="003E7106" w:rsidRDefault="00450FC9" w:rsidP="00450FC9">
            <w:pPr>
              <w:pStyle w:val="TableText"/>
              <w:rPr>
                <w:rFonts w:cs="Arial"/>
              </w:rPr>
            </w:pPr>
            <w:r w:rsidRPr="003E7106">
              <w:rPr>
                <w:rFonts w:cs="Arial"/>
              </w:rPr>
              <w:t>In discussions, provider and union representatives agreed that a transition to guaranteed hours would be required, as follows.</w:t>
            </w:r>
          </w:p>
          <w:p w:rsidR="00450FC9" w:rsidRPr="003E7106" w:rsidRDefault="00450FC9" w:rsidP="00450FC9">
            <w:pPr>
              <w:pStyle w:val="TableText"/>
              <w:ind w:left="425" w:hanging="425"/>
              <w:rPr>
                <w:rFonts w:cs="Arial"/>
              </w:rPr>
            </w:pPr>
            <w:r w:rsidRPr="003E7106">
              <w:rPr>
                <w:rFonts w:cs="Arial"/>
              </w:rPr>
              <w:t>1.</w:t>
            </w:r>
            <w:r w:rsidRPr="003E7106">
              <w:rPr>
                <w:rFonts w:cs="Arial"/>
              </w:rPr>
              <w:tab/>
              <w:t>Implementing the In-between Travel Settlement Agreement would require at least 51% of Support Workers being employed on guaranteed hours</w:t>
            </w:r>
            <w:r w:rsidRPr="003E7106">
              <w:rPr>
                <w:rFonts w:cs="Arial"/>
                <w:sz w:val="20"/>
              </w:rPr>
              <w:t xml:space="preserve"> </w:t>
            </w:r>
            <w:r w:rsidRPr="003E7106">
              <w:rPr>
                <w:rFonts w:cs="Arial"/>
              </w:rPr>
              <w:t>within 12 months of implementation.</w:t>
            </w:r>
          </w:p>
          <w:p w:rsidR="00450FC9" w:rsidRPr="003E7106" w:rsidRDefault="00450FC9" w:rsidP="00450FC9">
            <w:pPr>
              <w:pStyle w:val="TableText"/>
              <w:ind w:left="425" w:hanging="425"/>
              <w:rPr>
                <w:rFonts w:cs="Arial"/>
              </w:rPr>
            </w:pPr>
            <w:r w:rsidRPr="003E7106">
              <w:rPr>
                <w:rFonts w:cs="Arial"/>
              </w:rPr>
              <w:t>2.</w:t>
            </w:r>
            <w:r w:rsidRPr="003E7106">
              <w:rPr>
                <w:rFonts w:cs="Arial"/>
              </w:rPr>
              <w:tab/>
              <w:t>The model for measuring implementation would involve three variables:</w:t>
            </w:r>
          </w:p>
          <w:p w:rsidR="00450FC9" w:rsidRPr="003E7106" w:rsidRDefault="00450FC9" w:rsidP="00450FC9">
            <w:pPr>
              <w:pStyle w:val="TableText"/>
              <w:ind w:left="850" w:hanging="425"/>
              <w:rPr>
                <w:rFonts w:cs="Arial"/>
              </w:rPr>
            </w:pPr>
            <w:r w:rsidRPr="003E7106">
              <w:rPr>
                <w:rFonts w:cs="Arial"/>
              </w:rPr>
              <w:t>i)</w:t>
            </w:r>
            <w:r w:rsidRPr="003E7106">
              <w:rPr>
                <w:rFonts w:cs="Arial"/>
              </w:rPr>
              <w:tab/>
              <w:t>a minimum of 51% of the provider’s total workforce is to have guaranteed hours (ie, the number of Support Workers with guaranteed hours is a function of the provider’s total workforce and is not limited to a proportion of the permanent workforce), which is to ensure the intent of the In-between Travel Settlement Agreement is adhered to in that a majority of Support Workers will have guaranteed hours</w:t>
            </w:r>
          </w:p>
          <w:p w:rsidR="00450FC9" w:rsidRPr="003E7106" w:rsidRDefault="00450FC9" w:rsidP="00450FC9">
            <w:pPr>
              <w:pStyle w:val="TableText"/>
              <w:ind w:left="850" w:hanging="425"/>
              <w:rPr>
                <w:rFonts w:cs="Arial"/>
              </w:rPr>
            </w:pPr>
            <w:r w:rsidRPr="003E7106">
              <w:rPr>
                <w:rFonts w:cs="Arial"/>
              </w:rPr>
              <w:t>ii)</w:t>
            </w:r>
            <w:r w:rsidRPr="003E7106">
              <w:rPr>
                <w:rFonts w:cs="Arial"/>
              </w:rPr>
              <w:tab/>
              <w:t>each Support Worker with guaranteed hours will have had their last three months of hours reviewed and the hours deemed to be permanent will make up the number of hours guaranteed, to a maximum of 40 hours per week</w:t>
            </w:r>
          </w:p>
          <w:p w:rsidR="00450FC9" w:rsidRPr="003E7106" w:rsidRDefault="00450FC9" w:rsidP="00450FC9">
            <w:pPr>
              <w:pStyle w:val="TableText"/>
              <w:ind w:left="850" w:hanging="425"/>
              <w:rPr>
                <w:rFonts w:cs="Arial"/>
              </w:rPr>
            </w:pPr>
            <w:r w:rsidRPr="003E7106">
              <w:rPr>
                <w:rFonts w:cs="Arial"/>
              </w:rPr>
              <w:t>iii)</w:t>
            </w:r>
            <w:r w:rsidRPr="003E7106">
              <w:rPr>
                <w:rFonts w:cs="Arial"/>
              </w:rPr>
              <w:tab/>
              <w:t>a minimum of 51% of the provider’s contracted hours are to be guaranteed (which minimises the risk of the provider guaranteeing hours to the Support Workers with the least number of regular hours in order to comply).</w:t>
            </w:r>
          </w:p>
          <w:p w:rsidR="00450FC9" w:rsidRPr="003E7106" w:rsidRDefault="00450FC9" w:rsidP="00450FC9">
            <w:pPr>
              <w:pStyle w:val="TableText"/>
              <w:ind w:left="425" w:hanging="425"/>
              <w:rPr>
                <w:rFonts w:cs="Arial"/>
              </w:rPr>
            </w:pPr>
            <w:r w:rsidRPr="003E7106">
              <w:rPr>
                <w:rFonts w:cs="Arial"/>
              </w:rPr>
              <w:t>3.</w:t>
            </w:r>
            <w:r w:rsidRPr="003E7106">
              <w:rPr>
                <w:rFonts w:cs="Arial"/>
              </w:rPr>
              <w:tab/>
              <w:t>Transition to guaranteed hours, as set out in clause ii above, will depend on the allocation of appropriate funding based on the analysis of non-utilisation rates and other factors (eg, turnover of clients and staff).</w:t>
            </w:r>
          </w:p>
          <w:p w:rsidR="00450FC9" w:rsidRPr="003E7106" w:rsidRDefault="00450FC9" w:rsidP="00450FC9">
            <w:pPr>
              <w:pStyle w:val="TableText"/>
              <w:ind w:left="425" w:hanging="425"/>
            </w:pPr>
            <w:r w:rsidRPr="003E7106">
              <w:rPr>
                <w:rFonts w:cs="Arial"/>
              </w:rPr>
              <w:t>4.</w:t>
            </w:r>
            <w:r w:rsidRPr="003E7106">
              <w:rPr>
                <w:rFonts w:cs="Arial"/>
              </w:rPr>
              <w:tab/>
              <w:t>A move towards 80% of</w:t>
            </w:r>
            <w:r w:rsidRPr="003E7106">
              <w:rPr>
                <w:rFonts w:cs="Arial"/>
                <w:sz w:val="20"/>
              </w:rPr>
              <w:t xml:space="preserve"> </w:t>
            </w:r>
            <w:r w:rsidRPr="003E7106">
              <w:rPr>
                <w:rFonts w:cs="Arial"/>
              </w:rPr>
              <w:t>Support Workers being employed on guaranteed hours is considered to be a realistic goal for the majority of providers to work towards over the three-year period (which will result in a core workforce working regular, guaranteed hours, supported by a casualised/fixed-term workforce to assist in dealing with variability in client volume and need.</w:t>
            </w:r>
          </w:p>
        </w:tc>
      </w:tr>
      <w:tr w:rsidR="00AE2835" w:rsidRPr="003E7106" w:rsidTr="00450FC9">
        <w:trPr>
          <w:cantSplit/>
        </w:trPr>
        <w:tc>
          <w:tcPr>
            <w:tcW w:w="2234" w:type="dxa"/>
            <w:tcBorders>
              <w:top w:val="nil"/>
              <w:left w:val="nil"/>
              <w:bottom w:val="nil"/>
              <w:right w:val="nil"/>
            </w:tcBorders>
            <w:shd w:val="clear" w:color="auto" w:fill="B8CCE4" w:themeFill="accent1" w:themeFillTint="66"/>
          </w:tcPr>
          <w:p w:rsidR="00AE2835" w:rsidRPr="003E7106" w:rsidRDefault="00AE2835" w:rsidP="00450FC9">
            <w:pPr>
              <w:pStyle w:val="Heading2"/>
            </w:pPr>
            <w:bookmarkStart w:id="76" w:name="_Toc426009415"/>
            <w:r w:rsidRPr="003E7106">
              <w:t>Implications of the introduction of guaranteed hours</w:t>
            </w:r>
            <w:bookmarkEnd w:id="76"/>
          </w:p>
        </w:tc>
        <w:tc>
          <w:tcPr>
            <w:tcW w:w="12333" w:type="dxa"/>
            <w:tcBorders>
              <w:top w:val="nil"/>
              <w:left w:val="nil"/>
              <w:bottom w:val="nil"/>
              <w:right w:val="nil"/>
            </w:tcBorders>
            <w:shd w:val="clear" w:color="auto" w:fill="auto"/>
          </w:tcPr>
          <w:p w:rsidR="00AE2835" w:rsidRPr="003E7106" w:rsidRDefault="00AE2835" w:rsidP="00115FF8">
            <w:pPr>
              <w:pStyle w:val="TableText"/>
              <w:rPr>
                <w:rFonts w:cs="Arial"/>
              </w:rPr>
            </w:pPr>
            <w:r w:rsidRPr="003E7106">
              <w:rPr>
                <w:rFonts w:cs="Arial"/>
              </w:rPr>
              <w:t>The provider view is that:</w:t>
            </w:r>
          </w:p>
          <w:p w:rsidR="00AE2835" w:rsidRPr="003E7106" w:rsidRDefault="00450FC9" w:rsidP="00450FC9">
            <w:pPr>
              <w:pStyle w:val="TableText"/>
              <w:ind w:left="425" w:hanging="425"/>
              <w:rPr>
                <w:rFonts w:cs="Arial"/>
              </w:rPr>
            </w:pPr>
            <w:r w:rsidRPr="003E7106">
              <w:rPr>
                <w:rFonts w:cs="Arial"/>
              </w:rPr>
              <w:t>1.</w:t>
            </w:r>
            <w:r w:rsidRPr="003E7106">
              <w:rPr>
                <w:rFonts w:cs="Arial"/>
              </w:rPr>
              <w:tab/>
            </w:r>
            <w:r w:rsidR="00AE2835" w:rsidRPr="003E7106">
              <w:rPr>
                <w:rFonts w:cs="Arial"/>
              </w:rPr>
              <w:t>funding levels need to be sufficient to mitigate their ongoing financial risk of paying for non-utilised or non-revenue-generating Support Worker time</w:t>
            </w:r>
          </w:p>
          <w:p w:rsidR="00AE2835" w:rsidRPr="003E7106" w:rsidRDefault="00450FC9" w:rsidP="00450FC9">
            <w:pPr>
              <w:pStyle w:val="TableText"/>
              <w:ind w:left="425" w:hanging="425"/>
              <w:rPr>
                <w:rFonts w:cs="Arial"/>
              </w:rPr>
            </w:pPr>
            <w:r w:rsidRPr="003E7106">
              <w:rPr>
                <w:rFonts w:cs="Arial"/>
              </w:rPr>
              <w:t>2.</w:t>
            </w:r>
            <w:r w:rsidRPr="003E7106">
              <w:rPr>
                <w:rFonts w:cs="Arial"/>
              </w:rPr>
              <w:tab/>
            </w:r>
            <w:r w:rsidR="00AE2835" w:rsidRPr="003E7106">
              <w:rPr>
                <w:rFonts w:cs="Arial"/>
              </w:rPr>
              <w:t>the price/cost model should include a percentage to recognise the financial risk of increasing the percentage of Support Workers being employed on guaranteed hours (currently set at a nominal rate of 3%), to be subject to further investigation.</w:t>
            </w:r>
          </w:p>
          <w:p w:rsidR="0082259D" w:rsidRPr="003E7106" w:rsidRDefault="00AE2835" w:rsidP="00115FF8">
            <w:pPr>
              <w:pStyle w:val="TableText"/>
              <w:rPr>
                <w:rFonts w:cs="Arial"/>
              </w:rPr>
            </w:pPr>
            <w:r w:rsidRPr="003E7106">
              <w:t xml:space="preserve">The cost implications of </w:t>
            </w:r>
            <w:r w:rsidRPr="003E7106">
              <w:rPr>
                <w:rFonts w:cs="Arial"/>
              </w:rPr>
              <w:t>moving to an employment model where at least 51% of Support Workers are employed on guaranteed hours</w:t>
            </w:r>
            <w:r w:rsidRPr="003E7106">
              <w:t xml:space="preserve"> </w:t>
            </w:r>
            <w:r w:rsidRPr="003E7106">
              <w:rPr>
                <w:rFonts w:cs="Arial"/>
              </w:rPr>
              <w:t>has been estimated at a nominal 3% of current baseline costs and has been factored into the price/cost model Appendix 1.</w:t>
            </w:r>
          </w:p>
          <w:p w:rsidR="00AE2835" w:rsidRPr="003E7106" w:rsidRDefault="00AE2835" w:rsidP="00115FF8">
            <w:pPr>
              <w:pStyle w:val="TableText"/>
              <w:rPr>
                <w:rFonts w:cs="Arial"/>
              </w:rPr>
            </w:pPr>
            <w:r w:rsidRPr="003E7106">
              <w:rPr>
                <w:rFonts w:cs="Arial"/>
              </w:rPr>
              <w:t>Note:</w:t>
            </w:r>
            <w:r w:rsidRPr="003E7106">
              <w:t xml:space="preserve"> Australian reports indicate that the cost implications may increase up to an estimated 20% when 80% </w:t>
            </w:r>
            <w:r w:rsidRPr="003E7106">
              <w:rPr>
                <w:rFonts w:cs="Arial"/>
              </w:rPr>
              <w:t>of Support Workers are employed on guaranteed hours, in recognition of the increased</w:t>
            </w:r>
            <w:r w:rsidRPr="003E7106">
              <w:t xml:space="preserve"> risk that providers</w:t>
            </w:r>
            <w:r w:rsidRPr="003E7106">
              <w:rPr>
                <w:rFonts w:cs="Arial"/>
              </w:rPr>
              <w:t xml:space="preserve"> will be required to pay staff for non-utilised or non-revenue-generating time. The rate is also influenced by </w:t>
            </w:r>
            <w:r w:rsidRPr="003E7106">
              <w:t>the degree of client choice of Support Worker and/or time of service delivery factored into service delivery models.</w:t>
            </w:r>
          </w:p>
        </w:tc>
      </w:tr>
    </w:tbl>
    <w:p w:rsidR="00450FC9" w:rsidRPr="003E7106" w:rsidRDefault="00450FC9"/>
    <w:p w:rsidR="00450FC9" w:rsidRPr="003E7106" w:rsidRDefault="00450FC9" w:rsidP="00450FC9">
      <w:bookmarkStart w:id="77" w:name="_Toc423677693"/>
      <w:r w:rsidRPr="003E7106">
        <w:br w:type="page"/>
      </w:r>
    </w:p>
    <w:p w:rsidR="00450FC9" w:rsidRPr="003E7106" w:rsidRDefault="00450FC9" w:rsidP="00450FC9">
      <w:pPr>
        <w:pStyle w:val="Heading1"/>
      </w:pPr>
      <w:bookmarkStart w:id="78" w:name="_Toc426009416"/>
      <w:r w:rsidRPr="003E7106">
        <w:t>A case-load and case-mix workload mechanism to ensure a fair and safe allocation of clients to Support Workers</w:t>
      </w:r>
      <w:bookmarkEnd w:id="77"/>
      <w:bookmarkEnd w:id="7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2333"/>
      </w:tblGrid>
      <w:tr w:rsidR="00450FC9" w:rsidRPr="003E7106" w:rsidTr="00450FC9">
        <w:trPr>
          <w:cantSplit/>
          <w:tblHeader/>
        </w:trPr>
        <w:tc>
          <w:tcPr>
            <w:tcW w:w="2268" w:type="dxa"/>
            <w:tcBorders>
              <w:top w:val="nil"/>
              <w:left w:val="nil"/>
              <w:bottom w:val="nil"/>
              <w:right w:val="nil"/>
            </w:tcBorders>
            <w:shd w:val="clear" w:color="auto" w:fill="1F497D" w:themeFill="text2"/>
            <w:hideMark/>
          </w:tcPr>
          <w:p w:rsidR="00AE2835" w:rsidRPr="003E7106" w:rsidRDefault="00AE2835" w:rsidP="00115FF8">
            <w:pPr>
              <w:pStyle w:val="TableText"/>
              <w:rPr>
                <w:b/>
                <w:color w:val="FFFFFF" w:themeColor="background1"/>
              </w:rPr>
            </w:pPr>
            <w:r w:rsidRPr="003E7106">
              <w:rPr>
                <w:b/>
                <w:color w:val="FFFFFF" w:themeColor="background1"/>
              </w:rPr>
              <w:t>Area</w:t>
            </w:r>
          </w:p>
        </w:tc>
        <w:tc>
          <w:tcPr>
            <w:tcW w:w="12333" w:type="dxa"/>
            <w:tcBorders>
              <w:top w:val="nil"/>
              <w:left w:val="nil"/>
              <w:bottom w:val="nil"/>
              <w:right w:val="nil"/>
            </w:tcBorders>
            <w:shd w:val="clear" w:color="auto" w:fill="1F497D" w:themeFill="text2"/>
            <w:hideMark/>
          </w:tcPr>
          <w:p w:rsidR="00AE2835" w:rsidRPr="003E7106" w:rsidRDefault="00AE2835" w:rsidP="00115FF8">
            <w:pPr>
              <w:pStyle w:val="TableText"/>
              <w:rPr>
                <w:rFonts w:cs="Arial"/>
                <w:b/>
                <w:color w:val="FFFFFF" w:themeColor="background1"/>
              </w:rPr>
            </w:pPr>
            <w:r w:rsidRPr="003E7106">
              <w:rPr>
                <w:rFonts w:cs="Arial"/>
                <w:b/>
                <w:color w:val="FFFFFF" w:themeColor="background1"/>
              </w:rPr>
              <w:t>Key observations</w:t>
            </w:r>
          </w:p>
        </w:tc>
      </w:tr>
      <w:tr w:rsidR="00AE2835" w:rsidRPr="003E7106" w:rsidTr="00FD2E53">
        <w:trPr>
          <w:cantSplit/>
        </w:trPr>
        <w:tc>
          <w:tcPr>
            <w:tcW w:w="2268" w:type="dxa"/>
            <w:tcBorders>
              <w:top w:val="nil"/>
              <w:left w:val="nil"/>
              <w:bottom w:val="nil"/>
              <w:right w:val="nil"/>
            </w:tcBorders>
            <w:shd w:val="clear" w:color="auto" w:fill="B8CCE4" w:themeFill="accent1" w:themeFillTint="66"/>
            <w:hideMark/>
          </w:tcPr>
          <w:p w:rsidR="00AE2835" w:rsidRPr="003E7106" w:rsidRDefault="00AE2835" w:rsidP="00450FC9">
            <w:pPr>
              <w:pStyle w:val="Heading2"/>
            </w:pPr>
            <w:bookmarkStart w:id="79" w:name="_Toc423677694"/>
            <w:bookmarkStart w:id="80" w:name="_Toc426009417"/>
            <w:r w:rsidRPr="003E7106">
              <w:t>Goal</w:t>
            </w:r>
            <w:bookmarkEnd w:id="79"/>
            <w:bookmarkEnd w:id="80"/>
          </w:p>
        </w:tc>
        <w:tc>
          <w:tcPr>
            <w:tcW w:w="12333" w:type="dxa"/>
            <w:tcBorders>
              <w:top w:val="nil"/>
              <w:left w:val="nil"/>
              <w:bottom w:val="nil"/>
              <w:right w:val="nil"/>
            </w:tcBorders>
            <w:shd w:val="clear" w:color="auto" w:fill="auto"/>
          </w:tcPr>
          <w:p w:rsidR="00AE2835" w:rsidRPr="003E7106" w:rsidRDefault="00AE2835" w:rsidP="00450FC9">
            <w:pPr>
              <w:pStyle w:val="TableText"/>
            </w:pPr>
            <w:r w:rsidRPr="003E7106">
              <w:rPr>
                <w:rFonts w:cs="Arial"/>
              </w:rPr>
              <w:t xml:space="preserve">The parties to the Settlement Agreement agreed to explore the impact and affordability of moving to </w:t>
            </w:r>
            <w:r w:rsidRPr="003E7106">
              <w:t>a case-mix and case-load mechanism to ensure fair and safe client allocation at a safe staffing level.</w:t>
            </w:r>
          </w:p>
        </w:tc>
      </w:tr>
      <w:tr w:rsidR="00AE2835" w:rsidRPr="003E7106" w:rsidTr="00FD2E53">
        <w:trPr>
          <w:cantSplit/>
        </w:trPr>
        <w:tc>
          <w:tcPr>
            <w:tcW w:w="2268" w:type="dxa"/>
            <w:tcBorders>
              <w:top w:val="nil"/>
              <w:left w:val="nil"/>
              <w:bottom w:val="nil"/>
              <w:right w:val="nil"/>
            </w:tcBorders>
            <w:shd w:val="clear" w:color="auto" w:fill="B8CCE4" w:themeFill="accent1" w:themeFillTint="66"/>
          </w:tcPr>
          <w:p w:rsidR="00AE2835" w:rsidRPr="003E7106" w:rsidRDefault="00AE2835" w:rsidP="00450FC9">
            <w:pPr>
              <w:pStyle w:val="Heading2"/>
            </w:pPr>
            <w:bookmarkStart w:id="81" w:name="_Toc423677695"/>
            <w:bookmarkStart w:id="82" w:name="_Toc426009418"/>
            <w:r w:rsidRPr="003E7106">
              <w:t>Principles guiding workload allocation</w:t>
            </w:r>
            <w:bookmarkEnd w:id="81"/>
            <w:bookmarkEnd w:id="82"/>
          </w:p>
        </w:tc>
        <w:tc>
          <w:tcPr>
            <w:tcW w:w="12333" w:type="dxa"/>
            <w:tcBorders>
              <w:top w:val="nil"/>
              <w:left w:val="nil"/>
              <w:bottom w:val="nil"/>
              <w:right w:val="nil"/>
            </w:tcBorders>
            <w:shd w:val="clear" w:color="auto" w:fill="auto"/>
          </w:tcPr>
          <w:p w:rsidR="00AE2835" w:rsidRPr="003E7106" w:rsidRDefault="00AE2835" w:rsidP="00115FF8">
            <w:pPr>
              <w:pStyle w:val="TableText"/>
            </w:pPr>
            <w:r w:rsidRPr="003E7106">
              <w:t>A system of workload allocation for home Support Workers should:</w:t>
            </w:r>
          </w:p>
          <w:p w:rsidR="0082259D" w:rsidRPr="003E7106" w:rsidRDefault="00AE2835" w:rsidP="00450FC9">
            <w:pPr>
              <w:pStyle w:val="TableBullet"/>
              <w:ind w:left="284"/>
            </w:pPr>
            <w:r w:rsidRPr="003E7106">
              <w:t>be fair and objective, and minimise the opportunities for favouritism</w:t>
            </w:r>
          </w:p>
          <w:p w:rsidR="00AE2835" w:rsidRPr="003E7106" w:rsidRDefault="00AE2835" w:rsidP="00450FC9">
            <w:pPr>
              <w:pStyle w:val="TableBullet"/>
              <w:ind w:left="284"/>
            </w:pPr>
            <w:r w:rsidRPr="003E7106">
              <w:t>support the health and safety of both staff and clients</w:t>
            </w:r>
          </w:p>
          <w:p w:rsidR="0082259D" w:rsidRPr="003E7106" w:rsidRDefault="00AE2835" w:rsidP="00450FC9">
            <w:pPr>
              <w:pStyle w:val="TableBullet"/>
              <w:ind w:left="284"/>
            </w:pPr>
            <w:r w:rsidRPr="003E7106">
              <w:t>enable Support Workers to know as far in advance as is practicable what their workload is and what clients they are supporting</w:t>
            </w:r>
          </w:p>
          <w:p w:rsidR="00AE2835" w:rsidRPr="003E7106" w:rsidRDefault="00AE2835" w:rsidP="00450FC9">
            <w:pPr>
              <w:pStyle w:val="TableBullet"/>
              <w:ind w:left="284"/>
            </w:pPr>
            <w:r w:rsidRPr="003E7106">
              <w:t>reflect career development pathways (including specialisation where applicable), with workloads that acknowledge the stage of development of the worker</w:t>
            </w:r>
          </w:p>
          <w:p w:rsidR="0082259D" w:rsidRPr="003E7106" w:rsidRDefault="00AE2835" w:rsidP="00450FC9">
            <w:pPr>
              <w:pStyle w:val="TableBullet"/>
              <w:ind w:left="284"/>
            </w:pPr>
            <w:r w:rsidRPr="003E7106">
              <w:t>match worker skill levels to client needs</w:t>
            </w:r>
          </w:p>
          <w:p w:rsidR="00AE2835" w:rsidRPr="003E7106" w:rsidRDefault="00AE2835" w:rsidP="00450FC9">
            <w:pPr>
              <w:pStyle w:val="TableBullet"/>
              <w:ind w:left="284"/>
            </w:pPr>
            <w:r w:rsidRPr="003E7106">
              <w:t>allocate realistic and manageable timeframes for each client visit, consistent with funding arrangements and service agreements</w:t>
            </w:r>
          </w:p>
          <w:p w:rsidR="0082259D" w:rsidRPr="003E7106" w:rsidRDefault="00AE2835" w:rsidP="00450FC9">
            <w:pPr>
              <w:pStyle w:val="TableBullet"/>
              <w:ind w:left="284"/>
            </w:pPr>
            <w:r w:rsidRPr="003E7106">
              <w:t>allocate realistic and manageable timeframes to cover travel time (as it is described in the In-between Travel Act) and break times, consistent with funding arrangements</w:t>
            </w:r>
          </w:p>
          <w:p w:rsidR="00AE2835" w:rsidRPr="003E7106" w:rsidRDefault="00AE2835" w:rsidP="00450FC9">
            <w:pPr>
              <w:pStyle w:val="TableBullet"/>
              <w:ind w:left="284"/>
            </w:pPr>
            <w:r w:rsidRPr="003E7106">
              <w:t>create efficiencies by minimising travel (except where client needs for a particular Support Worker competency require otherwise).</w:t>
            </w:r>
          </w:p>
        </w:tc>
      </w:tr>
      <w:tr w:rsidR="00AE2835" w:rsidRPr="003E7106" w:rsidTr="00FD2E53">
        <w:trPr>
          <w:cantSplit/>
        </w:trPr>
        <w:tc>
          <w:tcPr>
            <w:tcW w:w="2268" w:type="dxa"/>
            <w:tcBorders>
              <w:top w:val="nil"/>
              <w:left w:val="nil"/>
              <w:bottom w:val="nil"/>
              <w:right w:val="nil"/>
            </w:tcBorders>
            <w:shd w:val="clear" w:color="auto" w:fill="B8CCE4" w:themeFill="accent1" w:themeFillTint="66"/>
          </w:tcPr>
          <w:p w:rsidR="00AE2835" w:rsidRPr="003E7106" w:rsidRDefault="00AE2835" w:rsidP="00450FC9">
            <w:pPr>
              <w:pStyle w:val="Heading2"/>
            </w:pPr>
            <w:bookmarkStart w:id="83" w:name="_Toc423677696"/>
            <w:bookmarkStart w:id="84" w:name="_Toc426009419"/>
            <w:r w:rsidRPr="003E7106">
              <w:t>Proposed intended outcomes</w:t>
            </w:r>
            <w:bookmarkEnd w:id="83"/>
            <w:bookmarkEnd w:id="84"/>
          </w:p>
        </w:tc>
        <w:tc>
          <w:tcPr>
            <w:tcW w:w="12333" w:type="dxa"/>
            <w:tcBorders>
              <w:top w:val="nil"/>
              <w:left w:val="nil"/>
              <w:bottom w:val="nil"/>
              <w:right w:val="nil"/>
            </w:tcBorders>
            <w:shd w:val="clear" w:color="auto" w:fill="auto"/>
          </w:tcPr>
          <w:p w:rsidR="00AE2835" w:rsidRPr="003E7106" w:rsidRDefault="00AE2835" w:rsidP="00115FF8">
            <w:pPr>
              <w:pStyle w:val="TableText"/>
            </w:pPr>
            <w:r w:rsidRPr="003E7106">
              <w:t>In order to give effect to these principles the following is required.</w:t>
            </w:r>
          </w:p>
          <w:p w:rsidR="00AE2835" w:rsidRPr="003E7106" w:rsidRDefault="00450FC9" w:rsidP="00450FC9">
            <w:pPr>
              <w:pStyle w:val="TableText"/>
              <w:ind w:left="425" w:hanging="425"/>
            </w:pPr>
            <w:r w:rsidRPr="003E7106">
              <w:t>1.</w:t>
            </w:r>
            <w:r w:rsidRPr="003E7106">
              <w:tab/>
            </w:r>
            <w:r w:rsidR="00AE2835" w:rsidRPr="003E7106">
              <w:t xml:space="preserve">There should be fair distribution of both complex and non-complex tasks to all home Support Workers. For </w:t>
            </w:r>
            <w:r w:rsidR="0082259D" w:rsidRPr="003E7106">
              <w:t>‘</w:t>
            </w:r>
            <w:r w:rsidR="00AE2835" w:rsidRPr="003E7106">
              <w:t>package of care</w:t>
            </w:r>
            <w:r w:rsidR="0082259D" w:rsidRPr="003E7106">
              <w:t>’</w:t>
            </w:r>
            <w:r w:rsidR="00AE2835" w:rsidRPr="003E7106">
              <w:t xml:space="preserve"> clients (ie, clients who receive a package of HCSS services to meet both their non-complex and complex care needs), all assignments contributing to this client should be allocated as a package to the one Support Worker, where practicable, or to the team working around that client.</w:t>
            </w:r>
          </w:p>
          <w:p w:rsidR="00AE2835" w:rsidRPr="003E7106" w:rsidRDefault="00450FC9" w:rsidP="00450FC9">
            <w:pPr>
              <w:pStyle w:val="TableText"/>
              <w:ind w:left="425" w:hanging="425"/>
            </w:pPr>
            <w:r w:rsidRPr="003E7106">
              <w:t>2.</w:t>
            </w:r>
            <w:r w:rsidRPr="003E7106">
              <w:tab/>
            </w:r>
            <w:r w:rsidR="00AE2835" w:rsidRPr="003E7106">
              <w:t>Support Workers new to the sector should be allocated non-complex tasks until qualified to complete more complex tasks.</w:t>
            </w:r>
          </w:p>
          <w:p w:rsidR="00AE2835" w:rsidRPr="003E7106" w:rsidRDefault="00450FC9" w:rsidP="00450FC9">
            <w:pPr>
              <w:pStyle w:val="TableText"/>
              <w:ind w:left="425" w:hanging="425"/>
            </w:pPr>
            <w:r w:rsidRPr="003E7106">
              <w:t>3.</w:t>
            </w:r>
            <w:r w:rsidRPr="003E7106">
              <w:tab/>
            </w:r>
            <w:r w:rsidR="00AE2835" w:rsidRPr="003E7106">
              <w:t xml:space="preserve">A time allowance of 0.5 hours per week per Support Worker has been factored into the price/cost model as non-revenue-generating time to allow the opportunity for providers to provide additional workforce support through regular team meetings, ongoing access to supervision, quality and peer review meetings, and mentoring arrangements for inexperienced staff. This cost (along with the 3% [nominal] cost of guaranteeing hours to 51% of the workforce) is shown in the </w:t>
            </w:r>
            <w:r w:rsidR="0082259D" w:rsidRPr="003E7106">
              <w:t>‘</w:t>
            </w:r>
            <w:r w:rsidR="00AE2835" w:rsidRPr="003E7106">
              <w:t>Additional SW Costs</w:t>
            </w:r>
            <w:r w:rsidR="0082259D" w:rsidRPr="003E7106">
              <w:t>’</w:t>
            </w:r>
            <w:r w:rsidR="00AE2835" w:rsidRPr="003E7106">
              <w:t xml:space="preserve"> column of the price/cost model in Appendix 1.</w:t>
            </w:r>
          </w:p>
          <w:p w:rsidR="0082259D" w:rsidRPr="003E7106" w:rsidRDefault="00AE2835" w:rsidP="00115FF8">
            <w:pPr>
              <w:pStyle w:val="TableText"/>
            </w:pPr>
            <w:r w:rsidRPr="003E7106">
              <w:t>Union representatives see merit in providers allocating to experienced Support Workers a mixture of non-complex and complex tasks to minimise fatigue, reduce the number of Support Workers going into a client</w:t>
            </w:r>
            <w:r w:rsidR="0082259D" w:rsidRPr="003E7106">
              <w:t>’</w:t>
            </w:r>
            <w:r w:rsidRPr="003E7106">
              <w:t>s home, and create efficiencies in relation to travel time.</w:t>
            </w:r>
          </w:p>
          <w:p w:rsidR="00AE2835" w:rsidRPr="003E7106" w:rsidRDefault="00AE2835" w:rsidP="00115FF8">
            <w:pPr>
              <w:pStyle w:val="TableText"/>
            </w:pPr>
            <w:r w:rsidRPr="003E7106">
              <w:t>Providers consider that high standards of care can be provided in a variety of ways; for example, telephone checks on clients to ensure they are taking their medication, the delivery of complex care by suitably qualified staff, and household support from less qualified staff,</w:t>
            </w:r>
            <w:r w:rsidR="00450FC9" w:rsidRPr="003E7106">
              <w:t xml:space="preserve"> as necessary.</w:t>
            </w:r>
          </w:p>
        </w:tc>
      </w:tr>
      <w:tr w:rsidR="00AE2835" w:rsidRPr="003E7106" w:rsidTr="00FD2E53">
        <w:trPr>
          <w:cantSplit/>
        </w:trPr>
        <w:tc>
          <w:tcPr>
            <w:tcW w:w="2268" w:type="dxa"/>
            <w:tcBorders>
              <w:top w:val="nil"/>
              <w:left w:val="nil"/>
              <w:bottom w:val="nil"/>
              <w:right w:val="nil"/>
            </w:tcBorders>
            <w:shd w:val="clear" w:color="auto" w:fill="B8CCE4" w:themeFill="accent1" w:themeFillTint="66"/>
          </w:tcPr>
          <w:p w:rsidR="00AE2835" w:rsidRPr="003E7106" w:rsidRDefault="00AE2835" w:rsidP="00450FC9">
            <w:pPr>
              <w:pStyle w:val="Heading2"/>
            </w:pPr>
            <w:bookmarkStart w:id="85" w:name="_Toc423677697"/>
            <w:bookmarkStart w:id="86" w:name="_Toc426009420"/>
            <w:r w:rsidRPr="003E7106">
              <w:t>Case mix</w:t>
            </w:r>
            <w:bookmarkEnd w:id="85"/>
            <w:bookmarkEnd w:id="86"/>
          </w:p>
        </w:tc>
        <w:tc>
          <w:tcPr>
            <w:tcW w:w="12333" w:type="dxa"/>
            <w:tcBorders>
              <w:top w:val="nil"/>
              <w:left w:val="nil"/>
              <w:bottom w:val="nil"/>
              <w:right w:val="nil"/>
            </w:tcBorders>
            <w:shd w:val="clear" w:color="auto" w:fill="auto"/>
          </w:tcPr>
          <w:p w:rsidR="00AE2835" w:rsidRPr="003E7106" w:rsidRDefault="00AE2835" w:rsidP="00115FF8">
            <w:pPr>
              <w:pStyle w:val="TableText"/>
            </w:pPr>
            <w:r w:rsidRPr="003E7106">
              <w:t>Under the case-mix model, nationally agreed minimum safety and service standards and worker competency criteria can be established for each case-mix category. Suitably qualified Support Workers are allocated according to the objectively assessed health care needs and a case-weighted determination of the number of hours required to meet those needs.</w:t>
            </w:r>
          </w:p>
          <w:p w:rsidR="0082259D" w:rsidRPr="003E7106" w:rsidRDefault="00AE2835" w:rsidP="00115FF8">
            <w:pPr>
              <w:pStyle w:val="TableText"/>
            </w:pPr>
            <w:r w:rsidRPr="003E7106">
              <w:t>Using the case-mix model, the care needs of a client over the age of 65 are determined using the InterRai assessment tool. InterRAI is designed to identify an older person</w:t>
            </w:r>
            <w:r w:rsidR="0082259D" w:rsidRPr="003E7106">
              <w:t>’</w:t>
            </w:r>
            <w:r w:rsidRPr="003E7106">
              <w:t>s medical, rehabilitation and support needs. An InterRAI assessment covers a number of factors, including mobility and self-care. It results in a package of care for each person and the assignment of a case-mix category reflecting the required level of care.</w:t>
            </w:r>
          </w:p>
          <w:p w:rsidR="00AE2835" w:rsidRPr="003E7106" w:rsidRDefault="00AE2835" w:rsidP="00115FF8">
            <w:pPr>
              <w:pStyle w:val="TableText"/>
            </w:pPr>
            <w:r w:rsidRPr="003E7106">
              <w:t>For example, in the non-complex category, Category 3a refers to clients whose condition is stable. Using a case-weighted approach, these clients require fewer hours of care. A client with significant rehabilitation requirements will fall into Category 8, the highest category of complex care, requiring more hours of care delivered by a suitably qualified and skilled Support Worker.</w:t>
            </w:r>
          </w:p>
          <w:p w:rsidR="0082259D" w:rsidRPr="003E7106" w:rsidRDefault="00AE2835" w:rsidP="00115FF8">
            <w:pPr>
              <w:pStyle w:val="TableText"/>
            </w:pPr>
            <w:r w:rsidRPr="003E7106">
              <w:t>Provider hours can then be allocated according to the case-weighted number of the hours required for each category of client. Although a smaller proportion of home- and community-based clients have complex care needs, providers need to allocate a higher number of hours to their care.</w:t>
            </w:r>
          </w:p>
          <w:p w:rsidR="00AE2835" w:rsidRPr="003E7106" w:rsidRDefault="00AE2835" w:rsidP="00115FF8">
            <w:pPr>
              <w:pStyle w:val="TableText"/>
            </w:pPr>
            <w:r w:rsidRPr="003E7106">
              <w:t>In summary, the case-mix model is more efficient because provider hours are allocated according to an objective determination of a client</w:t>
            </w:r>
            <w:r w:rsidR="0082259D" w:rsidRPr="003E7106">
              <w:t>’</w:t>
            </w:r>
            <w:r w:rsidRPr="003E7106">
              <w:t>s health care needs. Also, there is a decrease in service hours inherent in the case-mix model, which will produce cost savings due to a decrease in bed days and emergency department admissions.</w:t>
            </w:r>
          </w:p>
          <w:p w:rsidR="00AE2835" w:rsidRPr="003E7106" w:rsidRDefault="00AE2835" w:rsidP="00115FF8">
            <w:pPr>
              <w:pStyle w:val="TableText"/>
            </w:pPr>
            <w:r w:rsidRPr="003E7106">
              <w:t>Under the case-mix model, only 35% of assessments (the complex cases) are completed by the NASC service. The provider completes the rest. In line with a restorative model of care, annual reviews of clients are undertaken and Support Workers are encouraged to communicate changing levels of client need to the provider. There is no disincentive to do this, because pay is not linked to time spent with each client.</w:t>
            </w:r>
          </w:p>
        </w:tc>
      </w:tr>
    </w:tbl>
    <w:p w:rsidR="00450FC9" w:rsidRPr="003E7106" w:rsidRDefault="00450FC9"/>
    <w:p w:rsidR="00450FC9" w:rsidRPr="003E7106" w:rsidRDefault="00450FC9" w:rsidP="00450FC9">
      <w:bookmarkStart w:id="87" w:name="_Toc423677698"/>
      <w:r w:rsidRPr="003E7106">
        <w:br w:type="page"/>
      </w:r>
    </w:p>
    <w:p w:rsidR="00450FC9" w:rsidRPr="003E7106" w:rsidRDefault="00450FC9" w:rsidP="00450FC9">
      <w:pPr>
        <w:pStyle w:val="Heading1"/>
      </w:pPr>
      <w:bookmarkStart w:id="88" w:name="_Toc426009421"/>
      <w:r w:rsidRPr="003E7106">
        <w:t>Structuring future service delivery</w:t>
      </w:r>
      <w:bookmarkEnd w:id="87"/>
      <w:bookmarkEnd w:id="8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2333"/>
      </w:tblGrid>
      <w:tr w:rsidR="00450FC9" w:rsidRPr="003E7106" w:rsidTr="00450FC9">
        <w:trPr>
          <w:cantSplit/>
          <w:tblHeader/>
        </w:trPr>
        <w:tc>
          <w:tcPr>
            <w:tcW w:w="2268" w:type="dxa"/>
            <w:tcBorders>
              <w:top w:val="nil"/>
              <w:left w:val="nil"/>
              <w:bottom w:val="nil"/>
              <w:right w:val="nil"/>
            </w:tcBorders>
            <w:shd w:val="clear" w:color="auto" w:fill="1F497D" w:themeFill="text2"/>
            <w:hideMark/>
          </w:tcPr>
          <w:p w:rsidR="00AE2835" w:rsidRPr="003E7106" w:rsidRDefault="00AE2835" w:rsidP="00115FF8">
            <w:pPr>
              <w:pStyle w:val="TableText"/>
              <w:rPr>
                <w:b/>
                <w:color w:val="FFFFFF" w:themeColor="background1"/>
              </w:rPr>
            </w:pPr>
            <w:r w:rsidRPr="003E7106">
              <w:rPr>
                <w:b/>
                <w:color w:val="FFFFFF" w:themeColor="background1"/>
              </w:rPr>
              <w:t>Area</w:t>
            </w:r>
          </w:p>
        </w:tc>
        <w:tc>
          <w:tcPr>
            <w:tcW w:w="12333" w:type="dxa"/>
            <w:tcBorders>
              <w:top w:val="nil"/>
              <w:left w:val="nil"/>
              <w:bottom w:val="nil"/>
              <w:right w:val="nil"/>
            </w:tcBorders>
            <w:shd w:val="clear" w:color="auto" w:fill="1F497D" w:themeFill="text2"/>
            <w:hideMark/>
          </w:tcPr>
          <w:p w:rsidR="00AE2835" w:rsidRPr="003E7106" w:rsidRDefault="00AE2835" w:rsidP="00115FF8">
            <w:pPr>
              <w:pStyle w:val="TableText"/>
              <w:rPr>
                <w:b/>
                <w:color w:val="FFFFFF" w:themeColor="background1"/>
              </w:rPr>
            </w:pPr>
            <w:r w:rsidRPr="003E7106">
              <w:rPr>
                <w:b/>
                <w:color w:val="FFFFFF" w:themeColor="background1"/>
              </w:rPr>
              <w:t>Key observations</w:t>
            </w:r>
          </w:p>
        </w:tc>
      </w:tr>
      <w:tr w:rsidR="00AE2835" w:rsidRPr="003E7106" w:rsidTr="00450FC9">
        <w:trPr>
          <w:cantSplit/>
        </w:trPr>
        <w:tc>
          <w:tcPr>
            <w:tcW w:w="2268" w:type="dxa"/>
            <w:tcBorders>
              <w:top w:val="nil"/>
              <w:left w:val="nil"/>
              <w:bottom w:val="nil"/>
              <w:right w:val="nil"/>
            </w:tcBorders>
            <w:shd w:val="clear" w:color="auto" w:fill="B8CCE4" w:themeFill="accent1" w:themeFillTint="66"/>
          </w:tcPr>
          <w:p w:rsidR="00AE2835" w:rsidRPr="003E7106" w:rsidRDefault="00AE2835" w:rsidP="00FC6704">
            <w:pPr>
              <w:pStyle w:val="Heading2"/>
            </w:pPr>
            <w:bookmarkStart w:id="89" w:name="_Toc423677699"/>
            <w:bookmarkStart w:id="90" w:name="_Toc426009422"/>
            <w:r w:rsidRPr="003E7106">
              <w:t>Changes needed to sustain a regularised workforce and fit-for – purpose HCSS</w:t>
            </w:r>
            <w:bookmarkEnd w:id="89"/>
            <w:bookmarkEnd w:id="90"/>
          </w:p>
        </w:tc>
        <w:tc>
          <w:tcPr>
            <w:tcW w:w="12333" w:type="dxa"/>
            <w:tcBorders>
              <w:top w:val="nil"/>
              <w:left w:val="nil"/>
              <w:bottom w:val="nil"/>
              <w:right w:val="nil"/>
            </w:tcBorders>
            <w:shd w:val="clear" w:color="auto" w:fill="auto"/>
          </w:tcPr>
          <w:p w:rsidR="0082259D" w:rsidRPr="003E7106" w:rsidRDefault="00AE2835" w:rsidP="00115FF8">
            <w:pPr>
              <w:pStyle w:val="TableText"/>
            </w:pPr>
            <w:r w:rsidRPr="003E7106">
              <w:t>The transition to a regularised workforce must be supported by a number of infrastructural changes, without which the sustainability of HCSS will continue to be at risk. Nor will the sector be well placed to meet the increasingly complex care requirements of the anticipated number of clients seeking home- and community-based care in future.</w:t>
            </w:r>
          </w:p>
          <w:p w:rsidR="00AE2835" w:rsidRPr="003E7106" w:rsidRDefault="00AE2835" w:rsidP="00115FF8">
            <w:pPr>
              <w:pStyle w:val="TableText"/>
            </w:pPr>
            <w:r w:rsidRPr="003E7106">
              <w:t>The proposed changes are to:</w:t>
            </w:r>
          </w:p>
          <w:p w:rsidR="00AE2835" w:rsidRPr="003E7106" w:rsidRDefault="00450FC9" w:rsidP="00450FC9">
            <w:pPr>
              <w:pStyle w:val="TableText"/>
              <w:spacing w:after="40"/>
              <w:ind w:left="425" w:hanging="425"/>
            </w:pPr>
            <w:r w:rsidRPr="003E7106">
              <w:t>1.</w:t>
            </w:r>
            <w:r w:rsidRPr="003E7106">
              <w:tab/>
            </w:r>
            <w:r w:rsidR="00AE2835" w:rsidRPr="003E7106">
              <w:t>funding arrangements, so that the price paid by the funder to the provider:</w:t>
            </w:r>
          </w:p>
          <w:p w:rsidR="00AE2835" w:rsidRPr="003E7106" w:rsidRDefault="00AE2835" w:rsidP="00450FC9">
            <w:pPr>
              <w:pStyle w:val="TableBullet"/>
              <w:spacing w:after="40"/>
              <w:ind w:left="709"/>
            </w:pPr>
            <w:r w:rsidRPr="003E7106">
              <w:t>reflects the cost of delivering the service</w:t>
            </w:r>
          </w:p>
          <w:p w:rsidR="0082259D" w:rsidRPr="003E7106" w:rsidRDefault="00AE2835" w:rsidP="00450FC9">
            <w:pPr>
              <w:pStyle w:val="TableBullet"/>
              <w:spacing w:after="40"/>
              <w:ind w:left="709"/>
            </w:pPr>
            <w:r w:rsidRPr="003E7106">
              <w:t>is based on a consistent price/cost model (use of the 2014 Price/Cost model set out in Appendix 1 is recommended)</w:t>
            </w:r>
          </w:p>
          <w:p w:rsidR="00AE2835" w:rsidRPr="003E7106" w:rsidRDefault="00AE2835" w:rsidP="00450FC9">
            <w:pPr>
              <w:pStyle w:val="TableBullet"/>
              <w:ind w:left="709"/>
            </w:pPr>
            <w:r w:rsidRPr="003E7106">
              <w:t>is reviewed on an annual basis to take into account statutory minima requirements</w:t>
            </w:r>
          </w:p>
          <w:p w:rsidR="00AE2835" w:rsidRPr="003E7106" w:rsidRDefault="00450FC9" w:rsidP="00450FC9">
            <w:pPr>
              <w:pStyle w:val="TableText"/>
              <w:ind w:left="425" w:hanging="425"/>
            </w:pPr>
            <w:r w:rsidRPr="003E7106">
              <w:t>2.</w:t>
            </w:r>
            <w:r w:rsidRPr="003E7106">
              <w:tab/>
            </w:r>
            <w:r w:rsidR="00AE2835" w:rsidRPr="003E7106">
              <w:t>the contract model relevant to engagement between funders and providers</w:t>
            </w:r>
          </w:p>
          <w:p w:rsidR="00AE2835" w:rsidRPr="003E7106" w:rsidRDefault="00450FC9" w:rsidP="00450FC9">
            <w:pPr>
              <w:pStyle w:val="TableText"/>
              <w:ind w:left="425" w:hanging="425"/>
            </w:pPr>
            <w:r w:rsidRPr="003E7106">
              <w:t>3.</w:t>
            </w:r>
            <w:r w:rsidRPr="003E7106">
              <w:tab/>
            </w:r>
            <w:r w:rsidR="00AE2835" w:rsidRPr="003E7106">
              <w:t>service specifications.</w:t>
            </w:r>
          </w:p>
          <w:p w:rsidR="00AE2835" w:rsidRPr="003E7106" w:rsidRDefault="00AE2835" w:rsidP="00115FF8">
            <w:pPr>
              <w:pStyle w:val="TableText"/>
            </w:pPr>
            <w:r w:rsidRPr="003E7106">
              <w:t>Addressing the current variability in funding models and service delivery models through a national contract, national quality standards (service specifications) and a national costing methodology will reduce back-office effort, improve efficiency and reduce the total market cost of procurement processes. It will also remove regional differences that don</w:t>
            </w:r>
            <w:r w:rsidR="0082259D" w:rsidRPr="003E7106">
              <w:t>’</w:t>
            </w:r>
            <w:r w:rsidRPr="003E7106">
              <w:t>t improve performance and remove the need for providers to maintain multiple models.</w:t>
            </w:r>
          </w:p>
        </w:tc>
      </w:tr>
      <w:tr w:rsidR="00AE2835" w:rsidRPr="003E7106" w:rsidTr="00450FC9">
        <w:trPr>
          <w:cantSplit/>
        </w:trPr>
        <w:tc>
          <w:tcPr>
            <w:tcW w:w="2268" w:type="dxa"/>
            <w:tcBorders>
              <w:top w:val="nil"/>
              <w:left w:val="nil"/>
              <w:bottom w:val="nil"/>
              <w:right w:val="nil"/>
            </w:tcBorders>
            <w:shd w:val="clear" w:color="auto" w:fill="B8CCE4" w:themeFill="accent1" w:themeFillTint="66"/>
          </w:tcPr>
          <w:p w:rsidR="00AE2835" w:rsidRPr="003E7106" w:rsidRDefault="00AE2835" w:rsidP="00450FC9">
            <w:pPr>
              <w:pStyle w:val="Heading2"/>
            </w:pPr>
            <w:bookmarkStart w:id="91" w:name="_Toc423677700"/>
            <w:bookmarkStart w:id="92" w:name="_Toc426009423"/>
            <w:r w:rsidRPr="003E7106">
              <w:t>Funding arrangements</w:t>
            </w:r>
            <w:bookmarkEnd w:id="91"/>
            <w:bookmarkEnd w:id="92"/>
          </w:p>
        </w:tc>
        <w:tc>
          <w:tcPr>
            <w:tcW w:w="12333" w:type="dxa"/>
            <w:tcBorders>
              <w:top w:val="nil"/>
              <w:left w:val="nil"/>
              <w:bottom w:val="nil"/>
              <w:right w:val="nil"/>
            </w:tcBorders>
            <w:shd w:val="clear" w:color="auto" w:fill="auto"/>
          </w:tcPr>
          <w:p w:rsidR="00AE2835" w:rsidRPr="003E7106" w:rsidRDefault="00AE2835" w:rsidP="00115FF8">
            <w:pPr>
              <w:pStyle w:val="TableText"/>
            </w:pPr>
            <w:r w:rsidRPr="003E7106">
              <w:t>The price paid by funders to providers needs to reflect an objective assessment of the costs of delivering the services, as determined through the price/cost model.</w:t>
            </w:r>
          </w:p>
          <w:p w:rsidR="00AE2835" w:rsidRPr="003E7106" w:rsidRDefault="00AE2835" w:rsidP="00115FF8">
            <w:pPr>
              <w:pStyle w:val="TableText"/>
            </w:pPr>
            <w:r w:rsidRPr="003E7106">
              <w:t>The price paid needs to be subject to review on an annual basis to take into account any increase in statutory minimums. These arrangements are fundamental to the successful regularisation of the workforce and the ongoing sustainability of services.</w:t>
            </w:r>
          </w:p>
          <w:p w:rsidR="00AE2835" w:rsidRPr="003E7106" w:rsidRDefault="00AE2835" w:rsidP="00115FF8">
            <w:pPr>
              <w:pStyle w:val="TableText"/>
            </w:pPr>
            <w:r w:rsidRPr="003E7106">
              <w:t>A national contracting arrangement similar to the Aged Residential Care Contract is recommended as a basis for a consistent service delivery model and common funding</w:t>
            </w:r>
            <w:r w:rsidR="00450FC9" w:rsidRPr="003E7106">
              <w:t xml:space="preserve"> approach across the DHBs.</w:t>
            </w:r>
          </w:p>
        </w:tc>
      </w:tr>
      <w:tr w:rsidR="00450FC9" w:rsidRPr="003E7106" w:rsidTr="00450FC9">
        <w:trPr>
          <w:cantSplit/>
        </w:trPr>
        <w:tc>
          <w:tcPr>
            <w:tcW w:w="2268" w:type="dxa"/>
            <w:tcBorders>
              <w:top w:val="nil"/>
              <w:left w:val="nil"/>
              <w:bottom w:val="nil"/>
              <w:right w:val="nil"/>
            </w:tcBorders>
            <w:shd w:val="clear" w:color="auto" w:fill="B8CCE4" w:themeFill="accent1" w:themeFillTint="66"/>
          </w:tcPr>
          <w:p w:rsidR="00450FC9" w:rsidRPr="003E7106" w:rsidRDefault="00450FC9" w:rsidP="00450FC9">
            <w:pPr>
              <w:pStyle w:val="Heading2"/>
            </w:pPr>
            <w:bookmarkStart w:id="93" w:name="_Toc426009424"/>
            <w:r w:rsidRPr="003E7106">
              <w:t>Objective of the funding methodology</w:t>
            </w:r>
            <w:bookmarkEnd w:id="93"/>
          </w:p>
        </w:tc>
        <w:tc>
          <w:tcPr>
            <w:tcW w:w="12333" w:type="dxa"/>
            <w:tcBorders>
              <w:top w:val="nil"/>
              <w:left w:val="nil"/>
              <w:bottom w:val="nil"/>
              <w:right w:val="nil"/>
            </w:tcBorders>
            <w:shd w:val="clear" w:color="auto" w:fill="auto"/>
          </w:tcPr>
          <w:p w:rsidR="00450FC9" w:rsidRPr="003E7106" w:rsidRDefault="00450FC9" w:rsidP="00450FC9">
            <w:pPr>
              <w:pStyle w:val="TableText"/>
            </w:pPr>
            <w:r w:rsidRPr="003E7106">
              <w:t>The objective of a nationally consistent service delivery model is to provide appropriately funded, safe, effective and cost-efficient home and community support services via a model whereby both the DHBs and providers assume risks over which they have control, and can therefore influence the cost inputs.</w:t>
            </w:r>
          </w:p>
          <w:p w:rsidR="00450FC9" w:rsidRPr="003E7106" w:rsidRDefault="00450FC9" w:rsidP="00450FC9">
            <w:pPr>
              <w:pStyle w:val="TableText"/>
            </w:pPr>
            <w:r w:rsidRPr="003E7106">
              <w:t>Case mix is a model widely supported by the provider sector. Under such a model, the allocation of risk is related to the matters over which the parties exercise control. Providers are responsible for the delivery of safe (safety), efficient and cost-effective operations (efficiency), and DHBs for the impact of their decisions on both service entry and ‘related services’ that affect home support service levels (volume).</w:t>
            </w:r>
          </w:p>
          <w:p w:rsidR="00450FC9" w:rsidRPr="003E7106" w:rsidRDefault="00450FC9" w:rsidP="00450FC9">
            <w:pPr>
              <w:pStyle w:val="TableText"/>
            </w:pPr>
            <w:r w:rsidRPr="003E7106">
              <w:t>Under case mix, nationally agreed minimum safety and service standards and worker competency criteria are established for each case-mix category. Funding is then based on agreed national average inputs per case-mix category. Each client is allocated a package of care based on their InterRAI-assessed case-mix category. Case-mix category funding is based on the agreed national average inputs (with nationally agreed maximum inputs per case-mix category) calculated at the agreed national pricing level.</w:t>
            </w:r>
          </w:p>
          <w:p w:rsidR="00450FC9" w:rsidRPr="003E7106" w:rsidRDefault="00450FC9" w:rsidP="00115FF8">
            <w:pPr>
              <w:pStyle w:val="TableText"/>
            </w:pPr>
            <w:r w:rsidRPr="003E7106">
              <w:t>Clients requiring services above the nationally agreed maximum inputs per case mix are agreed between the parties and funded on a fee-for-service’ basis.</w:t>
            </w:r>
          </w:p>
          <w:p w:rsidR="00450FC9" w:rsidRPr="003E7106" w:rsidRDefault="00450FC9" w:rsidP="00115FF8">
            <w:pPr>
              <w:pStyle w:val="TableText"/>
            </w:pPr>
            <w:r w:rsidRPr="003E7106">
              <w:t>Although a national InterRAI assessment process ensures a national consistency of assessment, it requires a national contracting framework to ensure national consistency in the client service response to that assessed need. Having nationally agreed minimum safe and average funded inputs for each case-mix category provides assurance that clients will receive a consistent, safe service irrespective of their location in New Zealand.</w:t>
            </w:r>
          </w:p>
        </w:tc>
      </w:tr>
      <w:tr w:rsidR="00450FC9" w:rsidRPr="003E7106" w:rsidTr="00450FC9">
        <w:trPr>
          <w:cantSplit/>
        </w:trPr>
        <w:tc>
          <w:tcPr>
            <w:tcW w:w="2268" w:type="dxa"/>
            <w:tcBorders>
              <w:top w:val="nil"/>
              <w:left w:val="nil"/>
              <w:bottom w:val="nil"/>
              <w:right w:val="nil"/>
            </w:tcBorders>
            <w:shd w:val="clear" w:color="auto" w:fill="B8CCE4" w:themeFill="accent1" w:themeFillTint="66"/>
          </w:tcPr>
          <w:p w:rsidR="00450FC9" w:rsidRPr="003E7106" w:rsidRDefault="00450FC9" w:rsidP="00450FC9">
            <w:pPr>
              <w:pStyle w:val="Heading2"/>
            </w:pPr>
            <w:bookmarkStart w:id="94" w:name="_Toc426009425"/>
            <w:r w:rsidRPr="003E7106">
              <w:t>Benefits of the recommended case-mix approach under a national framework</w:t>
            </w:r>
            <w:bookmarkEnd w:id="94"/>
          </w:p>
        </w:tc>
        <w:tc>
          <w:tcPr>
            <w:tcW w:w="12333" w:type="dxa"/>
            <w:tcBorders>
              <w:top w:val="nil"/>
              <w:left w:val="nil"/>
              <w:bottom w:val="nil"/>
              <w:right w:val="nil"/>
            </w:tcBorders>
            <w:shd w:val="clear" w:color="auto" w:fill="auto"/>
          </w:tcPr>
          <w:p w:rsidR="00450FC9" w:rsidRPr="003E7106" w:rsidRDefault="00450FC9" w:rsidP="00450FC9">
            <w:pPr>
              <w:pStyle w:val="TableText"/>
            </w:pPr>
            <w:r w:rsidRPr="003E7106">
              <w:t>DHBs retain flexibility in that:</w:t>
            </w:r>
          </w:p>
          <w:p w:rsidR="00450FC9" w:rsidRPr="003E7106" w:rsidRDefault="00450FC9" w:rsidP="00450FC9">
            <w:pPr>
              <w:pStyle w:val="TableText"/>
              <w:ind w:left="425" w:hanging="425"/>
            </w:pPr>
            <w:r w:rsidRPr="003E7106">
              <w:t>1.</w:t>
            </w:r>
            <w:r w:rsidRPr="003E7106">
              <w:tab/>
              <w:t>the case-mix model will automatically reflect individual DHB client demographic mix</w:t>
            </w:r>
          </w:p>
          <w:p w:rsidR="00450FC9" w:rsidRPr="003E7106" w:rsidRDefault="00450FC9" w:rsidP="00450FC9">
            <w:pPr>
              <w:pStyle w:val="TableText"/>
              <w:ind w:left="425" w:hanging="425"/>
            </w:pPr>
            <w:r w:rsidRPr="003E7106">
              <w:t>2.</w:t>
            </w:r>
            <w:r w:rsidRPr="003E7106">
              <w:tab/>
              <w:t>they can transparently target services, by case-mix category, to assist in meeting other DHB priorities (eg, residential bed numbers) and budgetary considerations; for example, they may decide not to deliver some lower-level non-complex categories if it was deemed that this would not adversely affect other DHB services</w:t>
            </w:r>
          </w:p>
          <w:p w:rsidR="00450FC9" w:rsidRPr="003E7106" w:rsidRDefault="00450FC9" w:rsidP="00450FC9">
            <w:pPr>
              <w:pStyle w:val="TableText"/>
              <w:ind w:left="425" w:hanging="425"/>
              <w:rPr>
                <w:i/>
              </w:rPr>
            </w:pPr>
            <w:r w:rsidRPr="003E7106">
              <w:t>3.</w:t>
            </w:r>
            <w:r w:rsidRPr="003E7106">
              <w:tab/>
              <w:t>the funding methodology, with pricing based on case-mix average inputs, would retain the flexibility to be addressed on an individual client fee-for-service, client package of care, or bulk-funded model.</w:t>
            </w:r>
          </w:p>
        </w:tc>
      </w:tr>
      <w:tr w:rsidR="00AE2835" w:rsidRPr="003E7106" w:rsidTr="00450FC9">
        <w:trPr>
          <w:cantSplit/>
        </w:trPr>
        <w:tc>
          <w:tcPr>
            <w:tcW w:w="2268" w:type="dxa"/>
            <w:tcBorders>
              <w:top w:val="nil"/>
              <w:left w:val="nil"/>
              <w:bottom w:val="nil"/>
              <w:right w:val="nil"/>
            </w:tcBorders>
            <w:shd w:val="clear" w:color="auto" w:fill="B8CCE4" w:themeFill="accent1" w:themeFillTint="66"/>
          </w:tcPr>
          <w:p w:rsidR="00AE2835" w:rsidRPr="003E7106" w:rsidRDefault="00AE2835" w:rsidP="00450FC9">
            <w:pPr>
              <w:pStyle w:val="Heading2"/>
            </w:pPr>
            <w:bookmarkStart w:id="95" w:name="_Toc426009426"/>
            <w:r w:rsidRPr="003E7106">
              <w:t>Quality standards and service standards</w:t>
            </w:r>
            <w:bookmarkEnd w:id="95"/>
          </w:p>
        </w:tc>
        <w:tc>
          <w:tcPr>
            <w:tcW w:w="12333" w:type="dxa"/>
            <w:tcBorders>
              <w:top w:val="nil"/>
              <w:left w:val="nil"/>
              <w:bottom w:val="nil"/>
              <w:right w:val="nil"/>
            </w:tcBorders>
            <w:shd w:val="clear" w:color="auto" w:fill="auto"/>
          </w:tcPr>
          <w:p w:rsidR="00AE2835" w:rsidRPr="003E7106" w:rsidRDefault="00AE2835" w:rsidP="00FB6986">
            <w:pPr>
              <w:pStyle w:val="TableText"/>
              <w:rPr>
                <w:rFonts w:cs="Arial"/>
                <w:i/>
              </w:rPr>
            </w:pPr>
            <w:r w:rsidRPr="003E7106">
              <w:rPr>
                <w:rFonts w:cs="Arial"/>
              </w:rPr>
              <w:t xml:space="preserve">The support-worker workforce is unlike comparable workforces working in DHB or residential settings in that they have no immediate access to support and advice from experienced co-workers, or nursing or medical staff. Quality standards that align </w:t>
            </w:r>
            <w:r w:rsidRPr="003E7106">
              <w:rPr>
                <w:rFonts w:cs="Arial"/>
                <w:color w:val="000000"/>
              </w:rPr>
              <w:t>policy and quality, employment and training, and service delivery are required to provide a framework for the management of the risks associated with home-based care.</w:t>
            </w:r>
          </w:p>
        </w:tc>
      </w:tr>
    </w:tbl>
    <w:p w:rsidR="00450FC9" w:rsidRPr="003E7106" w:rsidRDefault="00450FC9" w:rsidP="00450FC9"/>
    <w:p w:rsidR="00FB6986" w:rsidRPr="003E7106" w:rsidRDefault="00FB6986" w:rsidP="00FB6986">
      <w:r w:rsidRPr="003E7106">
        <w:br w:type="page"/>
      </w:r>
    </w:p>
    <w:p w:rsidR="00AE2835" w:rsidRPr="003E7106" w:rsidRDefault="00AE2835" w:rsidP="00FB6986">
      <w:pPr>
        <w:pStyle w:val="Heading1"/>
      </w:pPr>
      <w:bookmarkStart w:id="96" w:name="_Toc426009427"/>
      <w:r w:rsidRPr="003E7106">
        <w:t>Appendix 1</w:t>
      </w:r>
      <w:r w:rsidR="00FB6986" w:rsidRPr="003E7106">
        <w:t xml:space="preserve">: </w:t>
      </w:r>
      <w:bookmarkStart w:id="97" w:name="_Toc423677701"/>
      <w:r w:rsidR="00FB6986" w:rsidRPr="003E7106">
        <w:t>Costing and pricing model</w:t>
      </w:r>
      <w:bookmarkEnd w:id="96"/>
      <w:bookmarkEnd w:id="97"/>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2333"/>
      </w:tblGrid>
      <w:tr w:rsidR="00FB6986" w:rsidRPr="003E7106" w:rsidTr="00C515BC">
        <w:trPr>
          <w:cantSplit/>
          <w:tblHeader/>
        </w:trPr>
        <w:tc>
          <w:tcPr>
            <w:tcW w:w="777" w:type="pct"/>
            <w:tcBorders>
              <w:top w:val="nil"/>
              <w:left w:val="nil"/>
              <w:bottom w:val="nil"/>
              <w:right w:val="nil"/>
            </w:tcBorders>
            <w:shd w:val="clear" w:color="auto" w:fill="1F497D" w:themeFill="text2"/>
          </w:tcPr>
          <w:p w:rsidR="00AE2835" w:rsidRPr="003E7106" w:rsidRDefault="00AE2835" w:rsidP="00FB6986">
            <w:pPr>
              <w:pStyle w:val="TableText"/>
              <w:rPr>
                <w:b/>
                <w:color w:val="FFFFFF" w:themeColor="background1"/>
              </w:rPr>
            </w:pPr>
            <w:bookmarkStart w:id="98" w:name="_Toc423677702"/>
            <w:r w:rsidRPr="003E7106">
              <w:rPr>
                <w:b/>
                <w:color w:val="FFFFFF" w:themeColor="background1"/>
              </w:rPr>
              <w:t>Area</w:t>
            </w:r>
            <w:bookmarkEnd w:id="98"/>
          </w:p>
        </w:tc>
        <w:tc>
          <w:tcPr>
            <w:tcW w:w="4223" w:type="pct"/>
            <w:tcBorders>
              <w:top w:val="nil"/>
              <w:left w:val="nil"/>
              <w:bottom w:val="nil"/>
              <w:right w:val="nil"/>
            </w:tcBorders>
            <w:shd w:val="clear" w:color="auto" w:fill="1F497D" w:themeFill="text2"/>
          </w:tcPr>
          <w:p w:rsidR="00AE2835" w:rsidRPr="003E7106" w:rsidRDefault="00AE2835" w:rsidP="00FB6986">
            <w:pPr>
              <w:pStyle w:val="TableText"/>
              <w:rPr>
                <w:b/>
                <w:color w:val="FFFFFF" w:themeColor="background1"/>
              </w:rPr>
            </w:pPr>
            <w:bookmarkStart w:id="99" w:name="_Toc423677703"/>
            <w:r w:rsidRPr="003E7106">
              <w:rPr>
                <w:b/>
                <w:color w:val="FFFFFF" w:themeColor="background1"/>
              </w:rPr>
              <w:t>Key observations</w:t>
            </w:r>
            <w:bookmarkEnd w:id="99"/>
          </w:p>
        </w:tc>
      </w:tr>
      <w:tr w:rsidR="00C515BC" w:rsidRPr="003E7106" w:rsidTr="00C515BC">
        <w:trPr>
          <w:cantSplit/>
        </w:trPr>
        <w:tc>
          <w:tcPr>
            <w:tcW w:w="777" w:type="pct"/>
            <w:vMerge w:val="restart"/>
            <w:tcBorders>
              <w:top w:val="nil"/>
              <w:left w:val="nil"/>
              <w:right w:val="nil"/>
            </w:tcBorders>
            <w:shd w:val="clear" w:color="auto" w:fill="B8CCE4" w:themeFill="accent1" w:themeFillTint="66"/>
          </w:tcPr>
          <w:p w:rsidR="00C515BC" w:rsidRPr="003E7106" w:rsidRDefault="00C515BC" w:rsidP="00FB6986">
            <w:pPr>
              <w:pStyle w:val="Heading2"/>
            </w:pPr>
            <w:bookmarkStart w:id="100" w:name="_Toc423677704"/>
            <w:bookmarkStart w:id="101" w:name="_Toc426009428"/>
            <w:r w:rsidRPr="003E7106">
              <w:t>Costing and pricing model</w:t>
            </w:r>
            <w:bookmarkEnd w:id="100"/>
            <w:bookmarkEnd w:id="101"/>
          </w:p>
        </w:tc>
        <w:tc>
          <w:tcPr>
            <w:tcW w:w="4223" w:type="pct"/>
            <w:tcBorders>
              <w:top w:val="nil"/>
              <w:left w:val="nil"/>
              <w:bottom w:val="nil"/>
              <w:right w:val="nil"/>
            </w:tcBorders>
            <w:shd w:val="clear" w:color="auto" w:fill="auto"/>
          </w:tcPr>
          <w:p w:rsidR="00C515BC" w:rsidRPr="003E7106" w:rsidRDefault="00C515BC" w:rsidP="00FB6986">
            <w:pPr>
              <w:pStyle w:val="TableText"/>
            </w:pPr>
            <w:r w:rsidRPr="003E7106">
              <w:t>The assumptions in the costing template were updated to reflect current rates and sections added to the tool to incorporate other elements that need to be accommodated. The tool was then used to model the cost and pricing scenarios flowing from the Settlement Agreement. The following sections were revised or added:</w:t>
            </w:r>
          </w:p>
          <w:p w:rsidR="00C515BC" w:rsidRPr="00FC6704" w:rsidRDefault="00C515BC" w:rsidP="00C515BC">
            <w:pPr>
              <w:pStyle w:val="TableText"/>
              <w:spacing w:after="0"/>
              <w:rPr>
                <w:b/>
              </w:rPr>
            </w:pPr>
            <w:r w:rsidRPr="00FC6704">
              <w:rPr>
                <w:b/>
              </w:rPr>
              <w:t>Travel</w:t>
            </w:r>
          </w:p>
        </w:tc>
      </w:tr>
      <w:tr w:rsidR="00C515BC" w:rsidRPr="003E7106" w:rsidTr="00C515BC">
        <w:trPr>
          <w:cantSplit/>
        </w:trPr>
        <w:tc>
          <w:tcPr>
            <w:tcW w:w="777" w:type="pct"/>
            <w:vMerge/>
            <w:tcBorders>
              <w:left w:val="nil"/>
              <w:right w:val="nil"/>
            </w:tcBorders>
            <w:shd w:val="clear" w:color="auto" w:fill="B8CCE4" w:themeFill="accent1" w:themeFillTint="66"/>
          </w:tcPr>
          <w:p w:rsidR="00C515BC" w:rsidRPr="003E7106" w:rsidRDefault="00C515BC" w:rsidP="00FB6986">
            <w:pPr>
              <w:pStyle w:val="TableText"/>
              <w:rPr>
                <w:i/>
                <w:color w:val="000000"/>
              </w:rPr>
            </w:pPr>
          </w:p>
        </w:tc>
        <w:tc>
          <w:tcPr>
            <w:tcW w:w="4223" w:type="pct"/>
            <w:tcBorders>
              <w:top w:val="nil"/>
              <w:left w:val="nil"/>
              <w:bottom w:val="nil"/>
              <w:right w:val="nil"/>
            </w:tcBorders>
            <w:shd w:val="clear" w:color="auto" w:fill="auto"/>
          </w:tcPr>
          <w:p w:rsidR="00C515BC" w:rsidRPr="003E7106" w:rsidRDefault="00C515BC" w:rsidP="00FB6986">
            <w:pPr>
              <w:pStyle w:val="TableText"/>
            </w:pPr>
            <w:r w:rsidRPr="003E7106">
              <w:t>To reflect the In-between Travel Settlement Agreement, the average travel distance of 4.45 km is reimbursed at $0.50 cents per kilometre, and a time allowance of 11.2 minutes is added. This is fully funded through Settlement Agreement funding.</w:t>
            </w:r>
          </w:p>
          <w:p w:rsidR="00C515BC" w:rsidRPr="00FC6704" w:rsidRDefault="00C515BC" w:rsidP="00C515BC">
            <w:pPr>
              <w:pStyle w:val="TableText"/>
              <w:spacing w:after="0"/>
              <w:rPr>
                <w:b/>
              </w:rPr>
            </w:pPr>
            <w:r w:rsidRPr="00FC6704">
              <w:rPr>
                <w:b/>
              </w:rPr>
              <w:t>Training</w:t>
            </w:r>
          </w:p>
        </w:tc>
      </w:tr>
      <w:tr w:rsidR="00C515BC" w:rsidRPr="003E7106" w:rsidTr="00C515BC">
        <w:trPr>
          <w:cantSplit/>
        </w:trPr>
        <w:tc>
          <w:tcPr>
            <w:tcW w:w="777" w:type="pct"/>
            <w:vMerge/>
            <w:tcBorders>
              <w:left w:val="nil"/>
              <w:right w:val="nil"/>
            </w:tcBorders>
            <w:shd w:val="clear" w:color="auto" w:fill="B8CCE4" w:themeFill="accent1" w:themeFillTint="66"/>
          </w:tcPr>
          <w:p w:rsidR="00C515BC" w:rsidRPr="003E7106" w:rsidRDefault="00C515BC" w:rsidP="00FB6986">
            <w:pPr>
              <w:pStyle w:val="TableText"/>
              <w:rPr>
                <w:i/>
                <w:color w:val="000000"/>
              </w:rPr>
            </w:pPr>
          </w:p>
        </w:tc>
        <w:tc>
          <w:tcPr>
            <w:tcW w:w="4223" w:type="pct"/>
            <w:tcBorders>
              <w:top w:val="nil"/>
              <w:left w:val="nil"/>
              <w:bottom w:val="nil"/>
              <w:right w:val="nil"/>
            </w:tcBorders>
            <w:shd w:val="clear" w:color="auto" w:fill="auto"/>
          </w:tcPr>
          <w:p w:rsidR="00C515BC" w:rsidRPr="003E7106" w:rsidRDefault="00C515BC" w:rsidP="00FB6986">
            <w:pPr>
              <w:pStyle w:val="TableText"/>
            </w:pPr>
            <w:r w:rsidRPr="003E7106">
              <w:t>Training costs are factored into the model. Costs to back-fill paid training time are not included because these would be covered by the employer within the costing/pricing model.</w:t>
            </w:r>
          </w:p>
          <w:p w:rsidR="00C515BC" w:rsidRPr="00FC6704" w:rsidRDefault="00C515BC" w:rsidP="00C515BC">
            <w:pPr>
              <w:pStyle w:val="TableText"/>
              <w:spacing w:after="0"/>
              <w:rPr>
                <w:b/>
              </w:rPr>
            </w:pPr>
            <w:r w:rsidRPr="00FC6704">
              <w:rPr>
                <w:b/>
              </w:rPr>
              <w:t>Additional Support Worker Costs</w:t>
            </w:r>
          </w:p>
        </w:tc>
      </w:tr>
      <w:tr w:rsidR="00C515BC" w:rsidRPr="003E7106" w:rsidTr="00C515BC">
        <w:trPr>
          <w:cantSplit/>
        </w:trPr>
        <w:tc>
          <w:tcPr>
            <w:tcW w:w="777" w:type="pct"/>
            <w:vMerge/>
            <w:tcBorders>
              <w:left w:val="nil"/>
              <w:right w:val="nil"/>
            </w:tcBorders>
            <w:shd w:val="clear" w:color="auto" w:fill="B8CCE4" w:themeFill="accent1" w:themeFillTint="66"/>
          </w:tcPr>
          <w:p w:rsidR="00C515BC" w:rsidRPr="003E7106" w:rsidRDefault="00C515BC" w:rsidP="00FB6986">
            <w:pPr>
              <w:pStyle w:val="TableText"/>
              <w:rPr>
                <w:i/>
                <w:color w:val="000000"/>
              </w:rPr>
            </w:pPr>
          </w:p>
        </w:tc>
        <w:tc>
          <w:tcPr>
            <w:tcW w:w="4223" w:type="pct"/>
            <w:tcBorders>
              <w:top w:val="nil"/>
              <w:left w:val="nil"/>
              <w:bottom w:val="nil"/>
              <w:right w:val="nil"/>
            </w:tcBorders>
            <w:shd w:val="clear" w:color="auto" w:fill="auto"/>
          </w:tcPr>
          <w:p w:rsidR="00C515BC" w:rsidRPr="003E7106" w:rsidRDefault="00C515BC" w:rsidP="00FB6986">
            <w:pPr>
              <w:pStyle w:val="TableText"/>
            </w:pPr>
            <w:r w:rsidRPr="003E7106">
              <w:t>Regularising the workforce with guaranteed hours requires the employees to be flexible and for them to be informed. The model allows for 1.25% (two hours per month) paid meeting time, for quality improvement and client peer review discussions.</w:t>
            </w:r>
          </w:p>
          <w:p w:rsidR="00C515BC" w:rsidRPr="003E7106" w:rsidRDefault="00C515BC" w:rsidP="00FB6986">
            <w:pPr>
              <w:pStyle w:val="TableText"/>
            </w:pPr>
            <w:r w:rsidRPr="003E7106">
              <w:t>In addition, an allowance of 3% is added in recognition that there will be time when client hours change to reduce employee utilisation before changes can be reflected in the guaranteed hours.</w:t>
            </w:r>
          </w:p>
          <w:p w:rsidR="00C515BC" w:rsidRPr="00FC6704" w:rsidRDefault="00C515BC" w:rsidP="00C515BC">
            <w:pPr>
              <w:pStyle w:val="TableText"/>
              <w:spacing w:after="0"/>
              <w:rPr>
                <w:b/>
              </w:rPr>
            </w:pPr>
            <w:r w:rsidRPr="00FC6704">
              <w:rPr>
                <w:b/>
              </w:rPr>
              <w:t>Differential for Qualifications</w:t>
            </w:r>
          </w:p>
        </w:tc>
      </w:tr>
      <w:tr w:rsidR="00C515BC" w:rsidRPr="003E7106" w:rsidTr="00C515BC">
        <w:trPr>
          <w:cantSplit/>
        </w:trPr>
        <w:tc>
          <w:tcPr>
            <w:tcW w:w="777" w:type="pct"/>
            <w:vMerge/>
            <w:tcBorders>
              <w:left w:val="nil"/>
              <w:right w:val="nil"/>
            </w:tcBorders>
            <w:shd w:val="clear" w:color="auto" w:fill="B8CCE4" w:themeFill="accent1" w:themeFillTint="66"/>
          </w:tcPr>
          <w:p w:rsidR="00C515BC" w:rsidRPr="003E7106" w:rsidRDefault="00C515BC" w:rsidP="00FB6986">
            <w:pPr>
              <w:pStyle w:val="TableText"/>
              <w:rPr>
                <w:i/>
                <w:color w:val="000000"/>
              </w:rPr>
            </w:pPr>
          </w:p>
        </w:tc>
        <w:tc>
          <w:tcPr>
            <w:tcW w:w="4223" w:type="pct"/>
            <w:tcBorders>
              <w:top w:val="nil"/>
              <w:left w:val="nil"/>
              <w:bottom w:val="nil"/>
              <w:right w:val="nil"/>
            </w:tcBorders>
            <w:shd w:val="clear" w:color="auto" w:fill="auto"/>
          </w:tcPr>
          <w:p w:rsidR="00C515BC" w:rsidRPr="003E7106" w:rsidRDefault="00C515BC" w:rsidP="00FB6986">
            <w:pPr>
              <w:pStyle w:val="TableText"/>
            </w:pPr>
            <w:r w:rsidRPr="003E7106">
              <w:t>The model allows for stepped wage rates along with the proportionate staff mix per step. To model the costs of moving to paid training and guaranteed hours, a $0.75 differential was used between steps, and the minimum wage as the entry level.</w:t>
            </w:r>
          </w:p>
          <w:p w:rsidR="00C515BC" w:rsidRPr="003E7106" w:rsidRDefault="00C515BC" w:rsidP="00FB6986">
            <w:pPr>
              <w:pStyle w:val="TableText"/>
            </w:pPr>
            <w:r w:rsidRPr="003E7106">
              <w:t>Industry average values were used as the default value for overheads. Actual values were used where known. A 6% return on investment (margin) is used.</w:t>
            </w:r>
          </w:p>
          <w:p w:rsidR="00C515BC" w:rsidRPr="00FC6704" w:rsidRDefault="00C515BC" w:rsidP="00C515BC">
            <w:pPr>
              <w:pStyle w:val="TableText"/>
              <w:spacing w:after="0"/>
              <w:rPr>
                <w:b/>
              </w:rPr>
            </w:pPr>
            <w:r w:rsidRPr="00FC6704">
              <w:rPr>
                <w:b/>
              </w:rPr>
              <w:t>Scenario Modelling</w:t>
            </w:r>
          </w:p>
        </w:tc>
      </w:tr>
      <w:tr w:rsidR="00C515BC" w:rsidRPr="003E7106" w:rsidTr="00C515BC">
        <w:trPr>
          <w:cantSplit/>
        </w:trPr>
        <w:tc>
          <w:tcPr>
            <w:tcW w:w="777" w:type="pct"/>
            <w:vMerge/>
            <w:tcBorders>
              <w:left w:val="nil"/>
              <w:right w:val="nil"/>
            </w:tcBorders>
            <w:shd w:val="clear" w:color="auto" w:fill="B8CCE4" w:themeFill="accent1" w:themeFillTint="66"/>
          </w:tcPr>
          <w:p w:rsidR="00C515BC" w:rsidRPr="003E7106" w:rsidRDefault="00C515BC" w:rsidP="00FB6986">
            <w:pPr>
              <w:pStyle w:val="TableText"/>
              <w:rPr>
                <w:i/>
                <w:color w:val="000000"/>
              </w:rPr>
            </w:pPr>
          </w:p>
        </w:tc>
        <w:tc>
          <w:tcPr>
            <w:tcW w:w="4223" w:type="pct"/>
            <w:tcBorders>
              <w:top w:val="nil"/>
              <w:left w:val="nil"/>
              <w:bottom w:val="nil"/>
              <w:right w:val="nil"/>
            </w:tcBorders>
            <w:shd w:val="clear" w:color="auto" w:fill="auto"/>
          </w:tcPr>
          <w:p w:rsidR="00C515BC" w:rsidRPr="003E7106" w:rsidRDefault="00C515BC" w:rsidP="00FB6986">
            <w:pPr>
              <w:pStyle w:val="TableText"/>
            </w:pPr>
            <w:r w:rsidRPr="003E7106">
              <w:t>Using the tool to model the cost and pricing scenarios flowing from the Settlement Agreement provides indicative increases to the baseline costs, as measured after paid travel has been factored in.</w:t>
            </w:r>
          </w:p>
          <w:p w:rsidR="00C515BC" w:rsidRPr="00FC6704" w:rsidRDefault="00C515BC" w:rsidP="00C515BC">
            <w:pPr>
              <w:pStyle w:val="TableText"/>
              <w:spacing w:after="0"/>
              <w:rPr>
                <w:b/>
              </w:rPr>
            </w:pPr>
            <w:r w:rsidRPr="00FC6704">
              <w:rPr>
                <w:b/>
              </w:rPr>
              <w:t>Basis Cost/Price</w:t>
            </w:r>
          </w:p>
        </w:tc>
      </w:tr>
      <w:tr w:rsidR="00C515BC" w:rsidRPr="003E7106" w:rsidTr="00C515BC">
        <w:trPr>
          <w:cantSplit/>
        </w:trPr>
        <w:tc>
          <w:tcPr>
            <w:tcW w:w="777" w:type="pct"/>
            <w:vMerge/>
            <w:tcBorders>
              <w:left w:val="nil"/>
              <w:right w:val="nil"/>
            </w:tcBorders>
            <w:shd w:val="clear" w:color="auto" w:fill="B8CCE4" w:themeFill="accent1" w:themeFillTint="66"/>
          </w:tcPr>
          <w:p w:rsidR="00C515BC" w:rsidRPr="003E7106" w:rsidRDefault="00C515BC" w:rsidP="00FB6986">
            <w:pPr>
              <w:pStyle w:val="TableText"/>
              <w:rPr>
                <w:i/>
                <w:color w:val="000000"/>
              </w:rPr>
            </w:pPr>
          </w:p>
        </w:tc>
        <w:tc>
          <w:tcPr>
            <w:tcW w:w="4223" w:type="pct"/>
            <w:tcBorders>
              <w:top w:val="nil"/>
              <w:left w:val="nil"/>
              <w:bottom w:val="nil"/>
              <w:right w:val="nil"/>
            </w:tcBorders>
            <w:shd w:val="clear" w:color="auto" w:fill="auto"/>
          </w:tcPr>
          <w:p w:rsidR="00C515BC" w:rsidRPr="003E7106" w:rsidRDefault="00C515BC" w:rsidP="00FB6986">
            <w:pPr>
              <w:pStyle w:val="TableText"/>
            </w:pPr>
            <w:r w:rsidRPr="003E7106">
              <w:t>Zero values for travel, additional support-worker costs, training or differential for qualifications.</w:t>
            </w:r>
          </w:p>
          <w:p w:rsidR="00C515BC" w:rsidRPr="00FC6704" w:rsidRDefault="00C515BC" w:rsidP="00C515BC">
            <w:pPr>
              <w:pStyle w:val="TableText"/>
              <w:spacing w:after="0"/>
              <w:rPr>
                <w:b/>
              </w:rPr>
            </w:pPr>
            <w:r w:rsidRPr="00FC6704">
              <w:rPr>
                <w:b/>
              </w:rPr>
              <w:t>Baseline for Costing</w:t>
            </w:r>
          </w:p>
        </w:tc>
      </w:tr>
      <w:tr w:rsidR="00C515BC" w:rsidRPr="003E7106" w:rsidTr="00C515BC">
        <w:trPr>
          <w:cantSplit/>
        </w:trPr>
        <w:tc>
          <w:tcPr>
            <w:tcW w:w="777" w:type="pct"/>
            <w:vMerge/>
            <w:tcBorders>
              <w:left w:val="nil"/>
              <w:bottom w:val="nil"/>
              <w:right w:val="nil"/>
            </w:tcBorders>
            <w:shd w:val="clear" w:color="auto" w:fill="B8CCE4" w:themeFill="accent1" w:themeFillTint="66"/>
          </w:tcPr>
          <w:p w:rsidR="00C515BC" w:rsidRPr="003E7106" w:rsidRDefault="00C515BC" w:rsidP="00FB6986">
            <w:pPr>
              <w:pStyle w:val="TableText"/>
              <w:rPr>
                <w:i/>
                <w:color w:val="000000"/>
              </w:rPr>
            </w:pPr>
          </w:p>
        </w:tc>
        <w:tc>
          <w:tcPr>
            <w:tcW w:w="4223" w:type="pct"/>
            <w:tcBorders>
              <w:top w:val="nil"/>
              <w:left w:val="nil"/>
              <w:bottom w:val="nil"/>
              <w:right w:val="nil"/>
            </w:tcBorders>
            <w:shd w:val="clear" w:color="auto" w:fill="auto"/>
          </w:tcPr>
          <w:p w:rsidR="00C515BC" w:rsidRPr="003E7106" w:rsidRDefault="00C515BC" w:rsidP="00C515BC">
            <w:pPr>
              <w:pStyle w:val="TableText"/>
            </w:pPr>
            <w:r w:rsidRPr="003E7106">
              <w:t>Agreed values from the Settlement Agreement were added for in-between travel to set the starting point for measuring the effect of introducing the new provisions.</w:t>
            </w:r>
          </w:p>
        </w:tc>
      </w:tr>
    </w:tbl>
    <w:p w:rsidR="00AE2835" w:rsidRPr="003E7106" w:rsidRDefault="00AE2835" w:rsidP="00C515BC"/>
    <w:p w:rsidR="00AE2835" w:rsidRPr="003E7106" w:rsidRDefault="00AE2835" w:rsidP="00AE2835">
      <w:pPr>
        <w:rPr>
          <w:bCs/>
        </w:rPr>
      </w:pPr>
      <w:r w:rsidRPr="003E7106">
        <w:rPr>
          <w:noProof/>
          <w:lang w:eastAsia="en-NZ"/>
        </w:rPr>
        <w:drawing>
          <wp:inline distT="0" distB="0" distL="0" distR="0" wp14:anchorId="3D47CC75" wp14:editId="067B84DE">
            <wp:extent cx="9243753" cy="6076113"/>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65219" cy="6090223"/>
                    </a:xfrm>
                    <a:prstGeom prst="rect">
                      <a:avLst/>
                    </a:prstGeom>
                    <a:noFill/>
                    <a:ln>
                      <a:noFill/>
                    </a:ln>
                  </pic:spPr>
                </pic:pic>
              </a:graphicData>
            </a:graphic>
          </wp:inline>
        </w:drawing>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2333"/>
      </w:tblGrid>
      <w:tr w:rsidR="001E32CE" w:rsidRPr="003E7106" w:rsidTr="006955FC">
        <w:trPr>
          <w:cantSplit/>
          <w:tblHeader/>
        </w:trPr>
        <w:tc>
          <w:tcPr>
            <w:tcW w:w="777" w:type="pct"/>
            <w:tcBorders>
              <w:top w:val="nil"/>
              <w:left w:val="nil"/>
              <w:bottom w:val="nil"/>
              <w:right w:val="nil"/>
            </w:tcBorders>
            <w:shd w:val="clear" w:color="auto" w:fill="1F497D" w:themeFill="text2"/>
          </w:tcPr>
          <w:p w:rsidR="001E32CE" w:rsidRPr="003E7106" w:rsidRDefault="001E32CE" w:rsidP="006955FC">
            <w:pPr>
              <w:pStyle w:val="TableText"/>
              <w:rPr>
                <w:b/>
                <w:color w:val="FFFFFF" w:themeColor="background1"/>
              </w:rPr>
            </w:pPr>
            <w:r w:rsidRPr="003E7106">
              <w:rPr>
                <w:b/>
                <w:color w:val="FFFFFF" w:themeColor="background1"/>
              </w:rPr>
              <w:t>Area</w:t>
            </w:r>
          </w:p>
        </w:tc>
        <w:tc>
          <w:tcPr>
            <w:tcW w:w="4223" w:type="pct"/>
            <w:tcBorders>
              <w:top w:val="nil"/>
              <w:left w:val="nil"/>
              <w:bottom w:val="nil"/>
              <w:right w:val="nil"/>
            </w:tcBorders>
            <w:shd w:val="clear" w:color="auto" w:fill="1F497D" w:themeFill="text2"/>
          </w:tcPr>
          <w:p w:rsidR="001E32CE" w:rsidRPr="003E7106" w:rsidRDefault="001E32CE" w:rsidP="006955FC">
            <w:pPr>
              <w:pStyle w:val="TableText"/>
              <w:rPr>
                <w:b/>
                <w:color w:val="FFFFFF" w:themeColor="background1"/>
              </w:rPr>
            </w:pPr>
            <w:r w:rsidRPr="003E7106">
              <w:rPr>
                <w:b/>
                <w:color w:val="FFFFFF" w:themeColor="background1"/>
              </w:rPr>
              <w:t>Key observations</w:t>
            </w:r>
          </w:p>
        </w:tc>
      </w:tr>
      <w:tr w:rsidR="00AE2835" w:rsidRPr="003E7106" w:rsidTr="001E32CE">
        <w:trPr>
          <w:cantSplit/>
        </w:trPr>
        <w:tc>
          <w:tcPr>
            <w:tcW w:w="777" w:type="pct"/>
            <w:tcBorders>
              <w:top w:val="nil"/>
              <w:left w:val="nil"/>
              <w:bottom w:val="nil"/>
              <w:right w:val="nil"/>
            </w:tcBorders>
            <w:shd w:val="clear" w:color="auto" w:fill="B8CCE4" w:themeFill="accent1" w:themeFillTint="66"/>
          </w:tcPr>
          <w:p w:rsidR="00AE2835" w:rsidRPr="003E7106" w:rsidRDefault="00AE2835" w:rsidP="001E32CE">
            <w:pPr>
              <w:pStyle w:val="Heading2"/>
            </w:pPr>
            <w:bookmarkStart w:id="102" w:name="_Toc426009429"/>
            <w:r w:rsidRPr="003E7106">
              <w:t>Explanation of Cost and Price Modelling Scenarios</w:t>
            </w:r>
            <w:bookmarkEnd w:id="102"/>
          </w:p>
        </w:tc>
        <w:tc>
          <w:tcPr>
            <w:tcW w:w="4223" w:type="pct"/>
            <w:tcBorders>
              <w:top w:val="nil"/>
              <w:left w:val="nil"/>
              <w:bottom w:val="nil"/>
              <w:right w:val="nil"/>
            </w:tcBorders>
            <w:shd w:val="clear" w:color="auto" w:fill="auto"/>
          </w:tcPr>
          <w:p w:rsidR="00AE2835" w:rsidRPr="003E7106" w:rsidRDefault="00AE2835" w:rsidP="001E32CE">
            <w:pPr>
              <w:pStyle w:val="TableText"/>
            </w:pPr>
            <w:r w:rsidRPr="003E7106">
              <w:t>The following provides explanation of elements of the Cost and Price Modelling Scenarios table (previous page):</w:t>
            </w:r>
          </w:p>
          <w:p w:rsidR="00AE2835" w:rsidRPr="003E7106" w:rsidRDefault="00AE2835" w:rsidP="001E32CE">
            <w:pPr>
              <w:pStyle w:val="TableBullet"/>
              <w:ind w:left="284"/>
            </w:pPr>
            <w:r w:rsidRPr="003E7106">
              <w:t>adding the additional support-worker costs arising from guaranteed hours adds 2.49% to the price</w:t>
            </w:r>
          </w:p>
          <w:p w:rsidR="00AE2835" w:rsidRPr="003E7106" w:rsidRDefault="00AE2835" w:rsidP="001E32CE">
            <w:pPr>
              <w:pStyle w:val="TableBullet"/>
              <w:ind w:left="284"/>
            </w:pPr>
            <w:r w:rsidRPr="003E7106">
              <w:t>adding paid training costs and time adds 1.17% to the price</w:t>
            </w:r>
          </w:p>
          <w:p w:rsidR="00AE2835" w:rsidRPr="003E7106" w:rsidRDefault="00AE2835" w:rsidP="001E32CE">
            <w:pPr>
              <w:pStyle w:val="TableBullet"/>
              <w:ind w:left="284"/>
            </w:pPr>
            <w:r w:rsidRPr="003E7106">
              <w:t>adding a differential for attaining qualifications at Level 2 and Level 3 adds 1.6% to the price</w:t>
            </w:r>
          </w:p>
          <w:p w:rsidR="00AE2835" w:rsidRPr="003E7106" w:rsidRDefault="00AE2835" w:rsidP="001E32CE">
            <w:pPr>
              <w:pStyle w:val="TableBullet"/>
              <w:ind w:left="284"/>
            </w:pPr>
            <w:r w:rsidRPr="003E7106">
              <w:t>the cumulative increases amount to 5.35% to the price</w:t>
            </w:r>
          </w:p>
          <w:p w:rsidR="00AE2835" w:rsidRPr="003E7106" w:rsidRDefault="00AE2835" w:rsidP="001E32CE">
            <w:pPr>
              <w:pStyle w:val="TableBullet"/>
              <w:ind w:left="284"/>
            </w:pPr>
            <w:r w:rsidRPr="003E7106">
              <w:t>the basic cost/price-level price exceeds the price some DHBs currently pay prior to the In-between Settlement Agreement, and there is current variability in how DHBs fund services</w:t>
            </w:r>
          </w:p>
          <w:p w:rsidR="00AE2835" w:rsidRPr="003E7106" w:rsidRDefault="00AE2835" w:rsidP="001E32CE">
            <w:pPr>
              <w:pStyle w:val="TableBullet"/>
              <w:ind w:left="284"/>
            </w:pPr>
            <w:r w:rsidRPr="003E7106">
              <w:t>the methodology applied requires peer review and further discussion with stakeholders if it is to form the basis of future funding decisions.</w:t>
            </w:r>
          </w:p>
        </w:tc>
      </w:tr>
    </w:tbl>
    <w:p w:rsidR="00AE2835" w:rsidRPr="003E7106" w:rsidRDefault="00AE2835" w:rsidP="001E32CE"/>
    <w:p w:rsidR="003949C3" w:rsidRPr="003E7106" w:rsidRDefault="003949C3" w:rsidP="003949C3">
      <w:bookmarkStart w:id="103" w:name="_Toc423677713"/>
      <w:r w:rsidRPr="003E7106">
        <w:br w:type="page"/>
      </w:r>
    </w:p>
    <w:p w:rsidR="00AE2835" w:rsidRPr="003E7106" w:rsidRDefault="00AE2835" w:rsidP="003949C3">
      <w:pPr>
        <w:pStyle w:val="Heading1"/>
      </w:pPr>
      <w:bookmarkStart w:id="104" w:name="_Toc426009430"/>
      <w:r w:rsidRPr="003E7106">
        <w:t>Appendix 2</w:t>
      </w:r>
      <w:bookmarkStart w:id="105" w:name="_Toc423677714"/>
      <w:bookmarkEnd w:id="103"/>
      <w:r w:rsidR="003949C3" w:rsidRPr="003E7106">
        <w:t xml:space="preserve">: </w:t>
      </w:r>
      <w:r w:rsidRPr="003E7106">
        <w:t>Programme structure</w:t>
      </w:r>
      <w:bookmarkEnd w:id="104"/>
    </w:p>
    <w:p w:rsidR="00AE2835" w:rsidRPr="003E7106" w:rsidRDefault="00AE2835" w:rsidP="003949C3">
      <w:pPr>
        <w:pStyle w:val="Heading2"/>
      </w:pPr>
      <w:bookmarkStart w:id="106" w:name="_Toc426009431"/>
      <w:r w:rsidRPr="003E7106">
        <w:t>Level 2 qualification</w:t>
      </w:r>
      <w:bookmarkEnd w:id="105"/>
      <w:bookmarkEnd w:id="106"/>
    </w:p>
    <w:tbl>
      <w:tblPr>
        <w:tblW w:w="0" w:type="auto"/>
        <w:tblInd w:w="108" w:type="dxa"/>
        <w:tblLayout w:type="fixed"/>
        <w:tblLook w:val="04A0" w:firstRow="1" w:lastRow="0" w:firstColumn="1" w:lastColumn="0" w:noHBand="0" w:noVBand="1"/>
      </w:tblPr>
      <w:tblGrid>
        <w:gridCol w:w="3261"/>
        <w:gridCol w:w="9213"/>
        <w:gridCol w:w="1063"/>
        <w:gridCol w:w="1064"/>
      </w:tblGrid>
      <w:tr w:rsidR="003949C3" w:rsidRPr="003E7106" w:rsidTr="00D4133E">
        <w:trPr>
          <w:cantSplit/>
        </w:trPr>
        <w:tc>
          <w:tcPr>
            <w:tcW w:w="3261" w:type="dxa"/>
            <w:shd w:val="clear" w:color="auto" w:fill="1F497D"/>
          </w:tcPr>
          <w:p w:rsidR="00AE2835" w:rsidRPr="003E7106" w:rsidRDefault="00AE2835" w:rsidP="007C56CE">
            <w:pPr>
              <w:pStyle w:val="TableText"/>
              <w:spacing w:line="240" w:lineRule="auto"/>
              <w:rPr>
                <w:b/>
                <w:color w:val="FFFFFF" w:themeColor="background1"/>
              </w:rPr>
            </w:pPr>
            <w:r w:rsidRPr="003E7106">
              <w:rPr>
                <w:b/>
                <w:color w:val="FFFFFF" w:themeColor="background1"/>
              </w:rPr>
              <w:t>Outcome</w:t>
            </w:r>
          </w:p>
        </w:tc>
        <w:tc>
          <w:tcPr>
            <w:tcW w:w="9213" w:type="dxa"/>
            <w:shd w:val="clear" w:color="auto" w:fill="1F497D"/>
          </w:tcPr>
          <w:p w:rsidR="00AE2835" w:rsidRPr="003E7106" w:rsidRDefault="00AE2835" w:rsidP="007C56CE">
            <w:pPr>
              <w:pStyle w:val="TableText"/>
              <w:spacing w:line="240" w:lineRule="auto"/>
              <w:rPr>
                <w:b/>
                <w:color w:val="FFFFFF" w:themeColor="background1"/>
              </w:rPr>
            </w:pPr>
            <w:r w:rsidRPr="003E7106">
              <w:rPr>
                <w:b/>
                <w:color w:val="FFFFFF" w:themeColor="background1"/>
              </w:rPr>
              <w:t>Unit standards</w:t>
            </w:r>
          </w:p>
        </w:tc>
        <w:tc>
          <w:tcPr>
            <w:tcW w:w="1063" w:type="dxa"/>
            <w:shd w:val="clear" w:color="auto" w:fill="1F497D"/>
          </w:tcPr>
          <w:p w:rsidR="00AE2835" w:rsidRPr="003E7106" w:rsidRDefault="00AE2835" w:rsidP="007C56CE">
            <w:pPr>
              <w:pStyle w:val="TableText"/>
              <w:spacing w:line="240" w:lineRule="auto"/>
              <w:jc w:val="center"/>
              <w:rPr>
                <w:b/>
                <w:color w:val="FFFFFF" w:themeColor="background1"/>
              </w:rPr>
            </w:pPr>
            <w:r w:rsidRPr="003E7106">
              <w:rPr>
                <w:b/>
                <w:color w:val="FFFFFF" w:themeColor="background1"/>
              </w:rPr>
              <w:t>Level</w:t>
            </w:r>
          </w:p>
        </w:tc>
        <w:tc>
          <w:tcPr>
            <w:tcW w:w="1064" w:type="dxa"/>
            <w:shd w:val="clear" w:color="auto" w:fill="1F497D"/>
          </w:tcPr>
          <w:p w:rsidR="00AE2835" w:rsidRPr="003E7106" w:rsidRDefault="00AE2835" w:rsidP="007C56CE">
            <w:pPr>
              <w:pStyle w:val="TableText"/>
              <w:spacing w:line="240" w:lineRule="auto"/>
              <w:jc w:val="center"/>
              <w:rPr>
                <w:b/>
                <w:color w:val="FFFFFF" w:themeColor="background1"/>
              </w:rPr>
            </w:pPr>
            <w:r w:rsidRPr="003E7106">
              <w:rPr>
                <w:b/>
                <w:color w:val="FFFFFF" w:themeColor="background1"/>
              </w:rPr>
              <w:t>Credit</w:t>
            </w:r>
          </w:p>
        </w:tc>
      </w:tr>
      <w:tr w:rsidR="00AE2835" w:rsidRPr="003E7106" w:rsidTr="00D4133E">
        <w:trPr>
          <w:cantSplit/>
        </w:trPr>
        <w:tc>
          <w:tcPr>
            <w:tcW w:w="3261" w:type="dxa"/>
            <w:vMerge w:val="restart"/>
            <w:shd w:val="clear" w:color="auto" w:fill="B8CCE4"/>
          </w:tcPr>
          <w:p w:rsidR="00AE2835" w:rsidRPr="003E7106" w:rsidRDefault="00D4133E" w:rsidP="007C56CE">
            <w:pPr>
              <w:pStyle w:val="TableText"/>
              <w:spacing w:line="240" w:lineRule="auto"/>
              <w:ind w:left="425" w:hanging="425"/>
              <w:rPr>
                <w:b/>
              </w:rPr>
            </w:pPr>
            <w:r w:rsidRPr="003E7106">
              <w:rPr>
                <w:b/>
              </w:rPr>
              <w:t>1.</w:t>
            </w:r>
            <w:r w:rsidRPr="003E7106">
              <w:rPr>
                <w:b/>
              </w:rPr>
              <w:tab/>
            </w:r>
            <w:r w:rsidR="00AE2835" w:rsidRPr="003E7106">
              <w:rPr>
                <w:b/>
              </w:rPr>
              <w:t>Work within the responsibilities and boundaries of own role</w:t>
            </w:r>
          </w:p>
        </w:tc>
        <w:tc>
          <w:tcPr>
            <w:tcW w:w="11340" w:type="dxa"/>
            <w:gridSpan w:val="3"/>
            <w:shd w:val="clear" w:color="auto" w:fill="DBE5F1" w:themeFill="accent1" w:themeFillTint="33"/>
          </w:tcPr>
          <w:p w:rsidR="00AE2835" w:rsidRPr="003E7106" w:rsidRDefault="00AE2835" w:rsidP="007C56CE">
            <w:pPr>
              <w:pStyle w:val="TableText"/>
              <w:spacing w:line="240" w:lineRule="auto"/>
              <w:rPr>
                <w:b/>
              </w:rPr>
            </w:pPr>
            <w:r w:rsidRPr="003E7106">
              <w:rPr>
                <w:b/>
              </w:rPr>
              <w:t>Compulsory:</w:t>
            </w:r>
          </w:p>
        </w:tc>
      </w:tr>
      <w:tr w:rsidR="00AE2835" w:rsidRPr="003E7106" w:rsidTr="00D4133E">
        <w:trPr>
          <w:cantSplit/>
        </w:trPr>
        <w:tc>
          <w:tcPr>
            <w:tcW w:w="3261" w:type="dxa"/>
            <w:vMerge/>
            <w:shd w:val="clear" w:color="auto" w:fill="B8CCE4"/>
          </w:tcPr>
          <w:p w:rsidR="00AE2835" w:rsidRPr="003E7106" w:rsidRDefault="00AE2835" w:rsidP="007C56CE">
            <w:pPr>
              <w:pStyle w:val="TableText"/>
              <w:spacing w:line="240" w:lineRule="auto"/>
              <w:ind w:left="425" w:hanging="425"/>
              <w:rPr>
                <w:b/>
              </w:rPr>
            </w:pPr>
          </w:p>
        </w:tc>
        <w:tc>
          <w:tcPr>
            <w:tcW w:w="9213" w:type="dxa"/>
          </w:tcPr>
          <w:p w:rsidR="00AE2835" w:rsidRPr="003E7106" w:rsidRDefault="00AE2835" w:rsidP="007C56CE">
            <w:pPr>
              <w:pStyle w:val="TableText"/>
              <w:spacing w:line="240" w:lineRule="auto"/>
              <w:ind w:left="709" w:hanging="709"/>
            </w:pPr>
            <w:r w:rsidRPr="003E7106">
              <w:t>23451</w:t>
            </w:r>
            <w:r w:rsidR="00E27E97" w:rsidRPr="003E7106">
              <w:tab/>
            </w:r>
            <w:r w:rsidRPr="003E7106">
              <w:t>Describe the role of a Support Worker in a health or wellbeing setting</w:t>
            </w:r>
          </w:p>
        </w:tc>
        <w:tc>
          <w:tcPr>
            <w:tcW w:w="1063" w:type="dxa"/>
          </w:tcPr>
          <w:p w:rsidR="00AE2835" w:rsidRPr="003E7106" w:rsidRDefault="00AE2835" w:rsidP="007C56CE">
            <w:pPr>
              <w:pStyle w:val="TableText"/>
              <w:spacing w:line="240" w:lineRule="auto"/>
              <w:jc w:val="center"/>
            </w:pPr>
            <w:r w:rsidRPr="003E7106">
              <w:t>2</w:t>
            </w:r>
          </w:p>
        </w:tc>
        <w:tc>
          <w:tcPr>
            <w:tcW w:w="1064" w:type="dxa"/>
          </w:tcPr>
          <w:p w:rsidR="00AE2835" w:rsidRPr="003E7106" w:rsidRDefault="00AE2835" w:rsidP="007C56CE">
            <w:pPr>
              <w:pStyle w:val="TableText"/>
              <w:spacing w:line="240" w:lineRule="auto"/>
              <w:jc w:val="center"/>
            </w:pPr>
            <w:r w:rsidRPr="003E7106">
              <w:t>5</w:t>
            </w:r>
          </w:p>
        </w:tc>
      </w:tr>
      <w:tr w:rsidR="00AE2835" w:rsidRPr="003E7106" w:rsidTr="00D4133E">
        <w:trPr>
          <w:cantSplit/>
        </w:trPr>
        <w:tc>
          <w:tcPr>
            <w:tcW w:w="3261" w:type="dxa"/>
            <w:vMerge/>
            <w:shd w:val="clear" w:color="auto" w:fill="B8CCE4"/>
          </w:tcPr>
          <w:p w:rsidR="00AE2835" w:rsidRPr="003E7106" w:rsidRDefault="00AE2835" w:rsidP="007C56CE">
            <w:pPr>
              <w:pStyle w:val="TableText"/>
              <w:spacing w:line="240" w:lineRule="auto"/>
              <w:ind w:left="425" w:hanging="425"/>
              <w:rPr>
                <w:b/>
              </w:rPr>
            </w:pPr>
          </w:p>
        </w:tc>
        <w:tc>
          <w:tcPr>
            <w:tcW w:w="11340" w:type="dxa"/>
            <w:gridSpan w:val="3"/>
            <w:shd w:val="clear" w:color="auto" w:fill="DBE5F1" w:themeFill="accent1" w:themeFillTint="33"/>
          </w:tcPr>
          <w:p w:rsidR="00AE2835" w:rsidRPr="003E7106" w:rsidRDefault="00AE2835" w:rsidP="007C56CE">
            <w:pPr>
              <w:pStyle w:val="TableText"/>
              <w:spacing w:line="240" w:lineRule="auto"/>
              <w:rPr>
                <w:b/>
              </w:rPr>
            </w:pPr>
            <w:r w:rsidRPr="003E7106">
              <w:rPr>
                <w:b/>
              </w:rPr>
              <w:t>Optional:</w:t>
            </w:r>
          </w:p>
        </w:tc>
      </w:tr>
      <w:tr w:rsidR="00AE2835" w:rsidRPr="003E7106" w:rsidTr="00D4133E">
        <w:trPr>
          <w:cantSplit/>
        </w:trPr>
        <w:tc>
          <w:tcPr>
            <w:tcW w:w="3261" w:type="dxa"/>
            <w:vMerge/>
            <w:shd w:val="clear" w:color="auto" w:fill="B8CCE4"/>
          </w:tcPr>
          <w:p w:rsidR="00AE2835" w:rsidRPr="003E7106" w:rsidRDefault="00AE2835" w:rsidP="007C56CE">
            <w:pPr>
              <w:pStyle w:val="TableText"/>
              <w:spacing w:line="240" w:lineRule="auto"/>
              <w:ind w:left="425" w:hanging="425"/>
              <w:rPr>
                <w:b/>
              </w:rPr>
            </w:pPr>
          </w:p>
        </w:tc>
        <w:tc>
          <w:tcPr>
            <w:tcW w:w="9213" w:type="dxa"/>
          </w:tcPr>
          <w:p w:rsidR="00AE2835" w:rsidRPr="003E7106" w:rsidRDefault="00AE2835" w:rsidP="007C56CE">
            <w:pPr>
              <w:pStyle w:val="TableText"/>
              <w:spacing w:line="240" w:lineRule="auto"/>
              <w:ind w:left="709" w:hanging="709"/>
            </w:pPr>
            <w:r w:rsidRPr="003E7106">
              <w:t>23686</w:t>
            </w:r>
            <w:r w:rsidR="00E27E97" w:rsidRPr="003E7106">
              <w:tab/>
            </w:r>
            <w:r w:rsidRPr="003E7106">
              <w:t>Describe a person</w:t>
            </w:r>
            <w:r w:rsidR="0082259D" w:rsidRPr="003E7106">
              <w:t>’</w:t>
            </w:r>
            <w:r w:rsidRPr="003E7106">
              <w:t>s rights in a health or wellbeing setting</w:t>
            </w:r>
          </w:p>
        </w:tc>
        <w:tc>
          <w:tcPr>
            <w:tcW w:w="1063" w:type="dxa"/>
          </w:tcPr>
          <w:p w:rsidR="00AE2835" w:rsidRPr="003E7106" w:rsidRDefault="00AE2835" w:rsidP="007C56CE">
            <w:pPr>
              <w:pStyle w:val="TableText"/>
              <w:spacing w:line="240" w:lineRule="auto"/>
              <w:jc w:val="center"/>
            </w:pPr>
            <w:r w:rsidRPr="003E7106">
              <w:t>2</w:t>
            </w:r>
          </w:p>
        </w:tc>
        <w:tc>
          <w:tcPr>
            <w:tcW w:w="1064" w:type="dxa"/>
          </w:tcPr>
          <w:p w:rsidR="00AE2835" w:rsidRPr="003E7106" w:rsidRDefault="00AE2835" w:rsidP="007C56CE">
            <w:pPr>
              <w:pStyle w:val="TableText"/>
              <w:spacing w:line="240" w:lineRule="auto"/>
              <w:jc w:val="center"/>
            </w:pPr>
            <w:r w:rsidRPr="003E7106">
              <w:t>1</w:t>
            </w:r>
          </w:p>
        </w:tc>
      </w:tr>
      <w:tr w:rsidR="00AE2835" w:rsidRPr="003E7106" w:rsidTr="00D4133E">
        <w:trPr>
          <w:cantSplit/>
        </w:trPr>
        <w:tc>
          <w:tcPr>
            <w:tcW w:w="3261" w:type="dxa"/>
            <w:vMerge w:val="restart"/>
            <w:shd w:val="clear" w:color="auto" w:fill="B8CCE4"/>
          </w:tcPr>
          <w:p w:rsidR="00AE2835" w:rsidRPr="003E7106" w:rsidRDefault="00D4133E" w:rsidP="007C56CE">
            <w:pPr>
              <w:pStyle w:val="TableText"/>
              <w:spacing w:line="240" w:lineRule="auto"/>
              <w:ind w:left="425" w:hanging="425"/>
              <w:rPr>
                <w:b/>
              </w:rPr>
            </w:pPr>
            <w:r w:rsidRPr="003E7106">
              <w:rPr>
                <w:b/>
              </w:rPr>
              <w:t>2.</w:t>
            </w:r>
            <w:r w:rsidRPr="003E7106">
              <w:rPr>
                <w:b/>
              </w:rPr>
              <w:tab/>
            </w:r>
            <w:r w:rsidR="00AE2835" w:rsidRPr="003E7106">
              <w:rPr>
                <w:b/>
              </w:rPr>
              <w:t>Perform entry-level person-centred tasks and functions in a health or wellbeing setting</w:t>
            </w:r>
          </w:p>
        </w:tc>
        <w:tc>
          <w:tcPr>
            <w:tcW w:w="11340" w:type="dxa"/>
            <w:gridSpan w:val="3"/>
            <w:shd w:val="clear" w:color="auto" w:fill="DBE5F1" w:themeFill="accent1" w:themeFillTint="33"/>
          </w:tcPr>
          <w:p w:rsidR="00AE2835" w:rsidRPr="003E7106" w:rsidRDefault="00AE2835" w:rsidP="007C56CE">
            <w:pPr>
              <w:pStyle w:val="TableText"/>
              <w:spacing w:line="240" w:lineRule="auto"/>
              <w:rPr>
                <w:b/>
              </w:rPr>
            </w:pPr>
            <w:r w:rsidRPr="003E7106">
              <w:rPr>
                <w:b/>
              </w:rPr>
              <w:t>Compulsory:</w:t>
            </w:r>
          </w:p>
        </w:tc>
      </w:tr>
      <w:tr w:rsidR="00AE2835" w:rsidRPr="003E7106" w:rsidTr="00D4133E">
        <w:trPr>
          <w:cantSplit/>
        </w:trPr>
        <w:tc>
          <w:tcPr>
            <w:tcW w:w="3261" w:type="dxa"/>
            <w:vMerge/>
            <w:shd w:val="clear" w:color="auto" w:fill="B8CCE4"/>
          </w:tcPr>
          <w:p w:rsidR="00AE2835" w:rsidRPr="003E7106" w:rsidRDefault="00AE2835" w:rsidP="007C56CE">
            <w:pPr>
              <w:pStyle w:val="TableText"/>
              <w:spacing w:line="240" w:lineRule="auto"/>
              <w:ind w:left="425" w:hanging="425"/>
              <w:rPr>
                <w:b/>
              </w:rPr>
            </w:pPr>
          </w:p>
        </w:tc>
        <w:tc>
          <w:tcPr>
            <w:tcW w:w="9213" w:type="dxa"/>
          </w:tcPr>
          <w:p w:rsidR="00AE2835" w:rsidRPr="003E7106" w:rsidRDefault="00AE2835" w:rsidP="007C56CE">
            <w:pPr>
              <w:pStyle w:val="TableText"/>
              <w:spacing w:line="240" w:lineRule="auto"/>
              <w:ind w:left="709" w:hanging="709"/>
            </w:pPr>
            <w:r w:rsidRPr="003E7106">
              <w:t>28519</w:t>
            </w:r>
            <w:r w:rsidR="00E27E97" w:rsidRPr="003E7106">
              <w:tab/>
            </w:r>
            <w:r w:rsidRPr="003E7106">
              <w:rPr>
                <w:rFonts w:cs="Arial"/>
              </w:rPr>
              <w:t>Maintain a safe and secure environment for people and Support Workers in a health or wellbeing setting</w:t>
            </w:r>
          </w:p>
        </w:tc>
        <w:tc>
          <w:tcPr>
            <w:tcW w:w="1063" w:type="dxa"/>
          </w:tcPr>
          <w:p w:rsidR="00AE2835" w:rsidRPr="003E7106" w:rsidRDefault="00AE2835" w:rsidP="007C56CE">
            <w:pPr>
              <w:pStyle w:val="TableText"/>
              <w:spacing w:line="240" w:lineRule="auto"/>
              <w:jc w:val="center"/>
            </w:pPr>
            <w:r w:rsidRPr="003E7106">
              <w:t>2</w:t>
            </w:r>
          </w:p>
        </w:tc>
        <w:tc>
          <w:tcPr>
            <w:tcW w:w="1064" w:type="dxa"/>
          </w:tcPr>
          <w:p w:rsidR="00AE2835" w:rsidRPr="003E7106" w:rsidRDefault="00AE2835" w:rsidP="007C56CE">
            <w:pPr>
              <w:pStyle w:val="TableText"/>
              <w:spacing w:line="240" w:lineRule="auto"/>
              <w:jc w:val="center"/>
            </w:pPr>
            <w:r w:rsidRPr="003E7106">
              <w:t>6</w:t>
            </w:r>
          </w:p>
        </w:tc>
      </w:tr>
      <w:tr w:rsidR="00AE2835" w:rsidRPr="003E7106" w:rsidTr="00D4133E">
        <w:trPr>
          <w:cantSplit/>
        </w:trPr>
        <w:tc>
          <w:tcPr>
            <w:tcW w:w="3261" w:type="dxa"/>
            <w:vMerge/>
            <w:shd w:val="clear" w:color="auto" w:fill="B8CCE4"/>
          </w:tcPr>
          <w:p w:rsidR="00AE2835" w:rsidRPr="003E7106" w:rsidRDefault="00AE2835" w:rsidP="007C56CE">
            <w:pPr>
              <w:pStyle w:val="TableText"/>
              <w:spacing w:line="240" w:lineRule="auto"/>
              <w:ind w:left="425" w:hanging="425"/>
              <w:rPr>
                <w:b/>
              </w:rPr>
            </w:pPr>
          </w:p>
        </w:tc>
        <w:tc>
          <w:tcPr>
            <w:tcW w:w="9213" w:type="dxa"/>
          </w:tcPr>
          <w:p w:rsidR="00AE2835" w:rsidRPr="003E7106" w:rsidRDefault="00AE2835" w:rsidP="007C56CE">
            <w:pPr>
              <w:pStyle w:val="TableText"/>
              <w:spacing w:before="0" w:line="240" w:lineRule="auto"/>
              <w:ind w:left="709" w:hanging="709"/>
              <w:rPr>
                <w:rFonts w:cs="Arial"/>
              </w:rPr>
            </w:pPr>
            <w:r w:rsidRPr="003E7106">
              <w:t>28529</w:t>
            </w:r>
            <w:r w:rsidR="00E27E97" w:rsidRPr="003E7106">
              <w:tab/>
            </w:r>
            <w:r w:rsidRPr="003E7106">
              <w:rPr>
                <w:rFonts w:cs="Arial"/>
              </w:rPr>
              <w:t>Identify the impact of culture on support in a health or wellbeing setting</w:t>
            </w:r>
          </w:p>
        </w:tc>
        <w:tc>
          <w:tcPr>
            <w:tcW w:w="1063" w:type="dxa"/>
          </w:tcPr>
          <w:p w:rsidR="00AE2835" w:rsidRPr="003E7106" w:rsidRDefault="00AE2835" w:rsidP="007C56CE">
            <w:pPr>
              <w:pStyle w:val="TableText"/>
              <w:spacing w:before="0" w:line="240" w:lineRule="auto"/>
              <w:jc w:val="center"/>
            </w:pPr>
            <w:r w:rsidRPr="003E7106">
              <w:t>2</w:t>
            </w:r>
          </w:p>
        </w:tc>
        <w:tc>
          <w:tcPr>
            <w:tcW w:w="1064" w:type="dxa"/>
          </w:tcPr>
          <w:p w:rsidR="00AE2835" w:rsidRPr="003E7106" w:rsidRDefault="00AE2835" w:rsidP="007C56CE">
            <w:pPr>
              <w:pStyle w:val="TableText"/>
              <w:spacing w:before="0" w:line="240" w:lineRule="auto"/>
              <w:jc w:val="center"/>
            </w:pPr>
            <w:r w:rsidRPr="003E7106">
              <w:t>5</w:t>
            </w:r>
          </w:p>
        </w:tc>
      </w:tr>
      <w:tr w:rsidR="00AE2835" w:rsidRPr="003E7106" w:rsidTr="00D4133E">
        <w:trPr>
          <w:cantSplit/>
        </w:trPr>
        <w:tc>
          <w:tcPr>
            <w:tcW w:w="3261" w:type="dxa"/>
            <w:vMerge/>
            <w:shd w:val="clear" w:color="auto" w:fill="B8CCE4"/>
          </w:tcPr>
          <w:p w:rsidR="00AE2835" w:rsidRPr="003E7106" w:rsidRDefault="00AE2835" w:rsidP="007C56CE">
            <w:pPr>
              <w:pStyle w:val="TableText"/>
              <w:spacing w:line="240" w:lineRule="auto"/>
              <w:ind w:left="425" w:hanging="425"/>
              <w:rPr>
                <w:b/>
              </w:rPr>
            </w:pPr>
          </w:p>
        </w:tc>
        <w:tc>
          <w:tcPr>
            <w:tcW w:w="11340" w:type="dxa"/>
            <w:gridSpan w:val="3"/>
            <w:shd w:val="clear" w:color="auto" w:fill="DBE5F1" w:themeFill="accent1" w:themeFillTint="33"/>
          </w:tcPr>
          <w:p w:rsidR="00AE2835" w:rsidRPr="003E7106" w:rsidRDefault="00AE2835" w:rsidP="007C56CE">
            <w:pPr>
              <w:pStyle w:val="TableText"/>
              <w:spacing w:line="240" w:lineRule="auto"/>
              <w:rPr>
                <w:b/>
              </w:rPr>
            </w:pPr>
            <w:r w:rsidRPr="003E7106">
              <w:rPr>
                <w:b/>
              </w:rPr>
              <w:t>Minimum of 14 credits selected from the following:</w:t>
            </w:r>
          </w:p>
        </w:tc>
      </w:tr>
      <w:tr w:rsidR="00AE2835" w:rsidRPr="003E7106" w:rsidTr="00D4133E">
        <w:trPr>
          <w:cantSplit/>
        </w:trPr>
        <w:tc>
          <w:tcPr>
            <w:tcW w:w="3261" w:type="dxa"/>
            <w:vMerge/>
            <w:shd w:val="clear" w:color="auto" w:fill="B8CCE4"/>
          </w:tcPr>
          <w:p w:rsidR="00AE2835" w:rsidRPr="003E7106" w:rsidRDefault="00AE2835" w:rsidP="007C56CE">
            <w:pPr>
              <w:pStyle w:val="TableText"/>
              <w:spacing w:line="240" w:lineRule="auto"/>
              <w:ind w:left="425" w:hanging="425"/>
              <w:rPr>
                <w:b/>
              </w:rPr>
            </w:pPr>
          </w:p>
        </w:tc>
        <w:tc>
          <w:tcPr>
            <w:tcW w:w="9213" w:type="dxa"/>
          </w:tcPr>
          <w:p w:rsidR="00AE2835" w:rsidRPr="003E7106" w:rsidRDefault="00AE2835" w:rsidP="007C56CE">
            <w:pPr>
              <w:pStyle w:val="TableText"/>
              <w:spacing w:line="240" w:lineRule="auto"/>
              <w:ind w:left="709" w:hanging="709"/>
              <w:rPr>
                <w:rFonts w:cs="Arial"/>
              </w:rPr>
            </w:pPr>
            <w:r w:rsidRPr="003E7106">
              <w:rPr>
                <w:rFonts w:cs="Arial"/>
              </w:rPr>
              <w:t>23386</w:t>
            </w:r>
            <w:r w:rsidR="00E27E97" w:rsidRPr="003E7106">
              <w:rPr>
                <w:rFonts w:cs="Arial"/>
              </w:rPr>
              <w:tab/>
            </w:r>
            <w:r w:rsidRPr="003E7106">
              <w:rPr>
                <w:rFonts w:cs="Arial"/>
              </w:rPr>
              <w:t>Support a person to meet personal care needs in a health or wellbeing setting</w:t>
            </w:r>
          </w:p>
        </w:tc>
        <w:tc>
          <w:tcPr>
            <w:tcW w:w="1063" w:type="dxa"/>
          </w:tcPr>
          <w:p w:rsidR="00AE2835" w:rsidRPr="003E7106" w:rsidRDefault="00AE2835" w:rsidP="007C56CE">
            <w:pPr>
              <w:pStyle w:val="TableText"/>
              <w:spacing w:line="240" w:lineRule="auto"/>
              <w:jc w:val="center"/>
            </w:pPr>
            <w:r w:rsidRPr="003E7106">
              <w:t>3</w:t>
            </w:r>
          </w:p>
        </w:tc>
        <w:tc>
          <w:tcPr>
            <w:tcW w:w="1064" w:type="dxa"/>
          </w:tcPr>
          <w:p w:rsidR="00AE2835" w:rsidRPr="003E7106" w:rsidRDefault="00AE2835" w:rsidP="007C56CE">
            <w:pPr>
              <w:pStyle w:val="TableText"/>
              <w:spacing w:line="240" w:lineRule="auto"/>
              <w:jc w:val="center"/>
            </w:pPr>
            <w:r w:rsidRPr="003E7106">
              <w:t>5</w:t>
            </w:r>
          </w:p>
        </w:tc>
      </w:tr>
      <w:tr w:rsidR="00AE2835" w:rsidRPr="003E7106" w:rsidTr="00D4133E">
        <w:trPr>
          <w:cantSplit/>
        </w:trPr>
        <w:tc>
          <w:tcPr>
            <w:tcW w:w="3261" w:type="dxa"/>
            <w:vMerge/>
            <w:shd w:val="clear" w:color="auto" w:fill="B8CCE4"/>
          </w:tcPr>
          <w:p w:rsidR="00AE2835" w:rsidRPr="003E7106" w:rsidRDefault="00AE2835" w:rsidP="007C56CE">
            <w:pPr>
              <w:pStyle w:val="TableText"/>
              <w:spacing w:line="240" w:lineRule="auto"/>
              <w:ind w:left="425" w:hanging="425"/>
              <w:rPr>
                <w:b/>
              </w:rPr>
            </w:pPr>
          </w:p>
        </w:tc>
        <w:tc>
          <w:tcPr>
            <w:tcW w:w="9213" w:type="dxa"/>
          </w:tcPr>
          <w:p w:rsidR="00AE2835" w:rsidRPr="003E7106" w:rsidRDefault="00AE2835" w:rsidP="007C56CE">
            <w:pPr>
              <w:pStyle w:val="TableText"/>
              <w:spacing w:before="0" w:line="240" w:lineRule="auto"/>
              <w:ind w:left="709" w:hanging="709"/>
              <w:rPr>
                <w:rFonts w:cs="Arial"/>
              </w:rPr>
            </w:pPr>
            <w:r w:rsidRPr="003E7106">
              <w:rPr>
                <w:rFonts w:cs="Arial"/>
              </w:rPr>
              <w:t>28545</w:t>
            </w:r>
            <w:r w:rsidR="00E27E97" w:rsidRPr="003E7106">
              <w:rPr>
                <w:rFonts w:cs="Arial"/>
              </w:rPr>
              <w:tab/>
            </w:r>
            <w:r w:rsidRPr="003E7106">
              <w:rPr>
                <w:rFonts w:cs="Arial"/>
              </w:rPr>
              <w:t>Apply personal plan requirements to meet the needs of people in a health or wellbeing setting</w:t>
            </w:r>
          </w:p>
        </w:tc>
        <w:tc>
          <w:tcPr>
            <w:tcW w:w="1063" w:type="dxa"/>
          </w:tcPr>
          <w:p w:rsidR="00AE2835" w:rsidRPr="003E7106" w:rsidRDefault="00AE2835" w:rsidP="007C56CE">
            <w:pPr>
              <w:pStyle w:val="TableText"/>
              <w:spacing w:before="0" w:line="240" w:lineRule="auto"/>
              <w:jc w:val="center"/>
            </w:pPr>
            <w:r w:rsidRPr="003E7106">
              <w:t>2</w:t>
            </w:r>
          </w:p>
        </w:tc>
        <w:tc>
          <w:tcPr>
            <w:tcW w:w="1064" w:type="dxa"/>
          </w:tcPr>
          <w:p w:rsidR="00AE2835" w:rsidRPr="003E7106" w:rsidRDefault="00AE2835" w:rsidP="007C56CE">
            <w:pPr>
              <w:pStyle w:val="TableText"/>
              <w:spacing w:before="0" w:line="240" w:lineRule="auto"/>
              <w:jc w:val="center"/>
            </w:pPr>
            <w:r w:rsidRPr="003E7106">
              <w:t>5</w:t>
            </w:r>
          </w:p>
        </w:tc>
      </w:tr>
      <w:tr w:rsidR="00AE2835" w:rsidRPr="003E7106" w:rsidTr="00D4133E">
        <w:trPr>
          <w:cantSplit/>
        </w:trPr>
        <w:tc>
          <w:tcPr>
            <w:tcW w:w="3261" w:type="dxa"/>
            <w:vMerge/>
            <w:shd w:val="clear" w:color="auto" w:fill="B8CCE4"/>
          </w:tcPr>
          <w:p w:rsidR="00AE2835" w:rsidRPr="003E7106" w:rsidRDefault="00AE2835" w:rsidP="007C56CE">
            <w:pPr>
              <w:pStyle w:val="TableText"/>
              <w:spacing w:line="240" w:lineRule="auto"/>
              <w:ind w:left="425" w:hanging="425"/>
              <w:rPr>
                <w:b/>
              </w:rPr>
            </w:pPr>
          </w:p>
        </w:tc>
        <w:tc>
          <w:tcPr>
            <w:tcW w:w="9213" w:type="dxa"/>
          </w:tcPr>
          <w:p w:rsidR="00AE2835" w:rsidRPr="003E7106" w:rsidRDefault="00AE2835" w:rsidP="007C56CE">
            <w:pPr>
              <w:pStyle w:val="TableText"/>
              <w:spacing w:before="0" w:line="240" w:lineRule="auto"/>
              <w:ind w:left="709" w:hanging="709"/>
              <w:rPr>
                <w:rFonts w:cs="Arial"/>
              </w:rPr>
            </w:pPr>
            <w:r w:rsidRPr="003E7106">
              <w:rPr>
                <w:rFonts w:cs="Arial"/>
              </w:rPr>
              <w:t>20826</w:t>
            </w:r>
            <w:r w:rsidR="00E27E97" w:rsidRPr="003E7106">
              <w:rPr>
                <w:rFonts w:cs="Arial"/>
              </w:rPr>
              <w:tab/>
            </w:r>
            <w:r w:rsidRPr="003E7106">
              <w:rPr>
                <w:rFonts w:cs="Arial"/>
              </w:rPr>
              <w:t>Describe infection control requirements in a health or wellbeing setting</w:t>
            </w:r>
          </w:p>
        </w:tc>
        <w:tc>
          <w:tcPr>
            <w:tcW w:w="1063" w:type="dxa"/>
          </w:tcPr>
          <w:p w:rsidR="00AE2835" w:rsidRPr="003E7106" w:rsidRDefault="00AE2835" w:rsidP="007C56CE">
            <w:pPr>
              <w:pStyle w:val="TableText"/>
              <w:spacing w:before="0" w:line="240" w:lineRule="auto"/>
              <w:jc w:val="center"/>
            </w:pPr>
            <w:r w:rsidRPr="003E7106">
              <w:t>2</w:t>
            </w:r>
          </w:p>
        </w:tc>
        <w:tc>
          <w:tcPr>
            <w:tcW w:w="1064" w:type="dxa"/>
          </w:tcPr>
          <w:p w:rsidR="00AE2835" w:rsidRPr="003E7106" w:rsidRDefault="00AE2835" w:rsidP="007C56CE">
            <w:pPr>
              <w:pStyle w:val="TableText"/>
              <w:spacing w:before="0" w:line="240" w:lineRule="auto"/>
              <w:jc w:val="center"/>
            </w:pPr>
            <w:r w:rsidRPr="003E7106">
              <w:t>3</w:t>
            </w:r>
          </w:p>
        </w:tc>
      </w:tr>
      <w:tr w:rsidR="00AE2835" w:rsidRPr="003E7106" w:rsidTr="00D4133E">
        <w:trPr>
          <w:cantSplit/>
        </w:trPr>
        <w:tc>
          <w:tcPr>
            <w:tcW w:w="3261" w:type="dxa"/>
            <w:vMerge/>
            <w:shd w:val="clear" w:color="auto" w:fill="B8CCE4"/>
          </w:tcPr>
          <w:p w:rsidR="00AE2835" w:rsidRPr="003E7106" w:rsidRDefault="00AE2835" w:rsidP="007C56CE">
            <w:pPr>
              <w:pStyle w:val="TableText"/>
              <w:spacing w:line="240" w:lineRule="auto"/>
              <w:ind w:left="425" w:hanging="425"/>
              <w:rPr>
                <w:b/>
              </w:rPr>
            </w:pPr>
          </w:p>
        </w:tc>
        <w:tc>
          <w:tcPr>
            <w:tcW w:w="9213" w:type="dxa"/>
          </w:tcPr>
          <w:p w:rsidR="00AE2835" w:rsidRPr="003E7106" w:rsidRDefault="00AE2835" w:rsidP="007C56CE">
            <w:pPr>
              <w:pStyle w:val="TableText"/>
              <w:spacing w:before="0" w:line="240" w:lineRule="auto"/>
              <w:ind w:left="709" w:hanging="709"/>
              <w:rPr>
                <w:rFonts w:cs="Arial"/>
              </w:rPr>
            </w:pPr>
            <w:r w:rsidRPr="003E7106">
              <w:rPr>
                <w:rFonts w:cs="Arial"/>
              </w:rPr>
              <w:t>23452</w:t>
            </w:r>
            <w:r w:rsidR="00E27E97" w:rsidRPr="003E7106">
              <w:rPr>
                <w:rFonts w:cs="Arial"/>
              </w:rPr>
              <w:tab/>
            </w:r>
            <w:r w:rsidRPr="003E7106">
              <w:rPr>
                <w:rFonts w:cs="Arial"/>
              </w:rPr>
              <w:t>Describe the principles for moving equipment and people in a health or wellbeing setting</w:t>
            </w:r>
          </w:p>
        </w:tc>
        <w:tc>
          <w:tcPr>
            <w:tcW w:w="1063" w:type="dxa"/>
          </w:tcPr>
          <w:p w:rsidR="00AE2835" w:rsidRPr="003E7106" w:rsidRDefault="00AE2835" w:rsidP="007C56CE">
            <w:pPr>
              <w:pStyle w:val="TableText"/>
              <w:spacing w:before="0" w:line="240" w:lineRule="auto"/>
              <w:jc w:val="center"/>
            </w:pPr>
            <w:r w:rsidRPr="003E7106">
              <w:t>2</w:t>
            </w:r>
          </w:p>
        </w:tc>
        <w:tc>
          <w:tcPr>
            <w:tcW w:w="1064" w:type="dxa"/>
          </w:tcPr>
          <w:p w:rsidR="00AE2835" w:rsidRPr="003E7106" w:rsidRDefault="00AE2835" w:rsidP="007C56CE">
            <w:pPr>
              <w:pStyle w:val="TableText"/>
              <w:spacing w:before="0" w:line="240" w:lineRule="auto"/>
              <w:jc w:val="center"/>
            </w:pPr>
            <w:r w:rsidRPr="003E7106">
              <w:t>3</w:t>
            </w:r>
          </w:p>
        </w:tc>
      </w:tr>
      <w:tr w:rsidR="00AE2835" w:rsidRPr="003E7106" w:rsidTr="00D4133E">
        <w:trPr>
          <w:cantSplit/>
        </w:trPr>
        <w:tc>
          <w:tcPr>
            <w:tcW w:w="3261" w:type="dxa"/>
            <w:vMerge/>
            <w:shd w:val="clear" w:color="auto" w:fill="B8CCE4"/>
          </w:tcPr>
          <w:p w:rsidR="00AE2835" w:rsidRPr="003E7106" w:rsidRDefault="00AE2835" w:rsidP="007C56CE">
            <w:pPr>
              <w:pStyle w:val="TableText"/>
              <w:spacing w:line="240" w:lineRule="auto"/>
              <w:ind w:left="425" w:hanging="425"/>
              <w:rPr>
                <w:b/>
              </w:rPr>
            </w:pPr>
          </w:p>
        </w:tc>
        <w:tc>
          <w:tcPr>
            <w:tcW w:w="9213" w:type="dxa"/>
          </w:tcPr>
          <w:p w:rsidR="00AE2835" w:rsidRPr="003E7106" w:rsidRDefault="00AE2835" w:rsidP="007C56CE">
            <w:pPr>
              <w:pStyle w:val="TableText"/>
              <w:spacing w:before="0" w:line="240" w:lineRule="auto"/>
              <w:ind w:left="709" w:hanging="709"/>
              <w:rPr>
                <w:rFonts w:cs="Arial"/>
              </w:rPr>
            </w:pPr>
            <w:r w:rsidRPr="003E7106">
              <w:rPr>
                <w:rFonts w:cs="Arial"/>
              </w:rPr>
              <w:t>23685</w:t>
            </w:r>
            <w:r w:rsidR="00E27E97" w:rsidRPr="003E7106">
              <w:rPr>
                <w:rFonts w:cs="Arial"/>
              </w:rPr>
              <w:tab/>
            </w:r>
            <w:r w:rsidRPr="003E7106">
              <w:rPr>
                <w:rFonts w:cs="Arial"/>
              </w:rPr>
              <w:t>Describe pre-packaged medication and the process for its use in a health or wellbeing setting</w:t>
            </w:r>
          </w:p>
        </w:tc>
        <w:tc>
          <w:tcPr>
            <w:tcW w:w="1063" w:type="dxa"/>
          </w:tcPr>
          <w:p w:rsidR="00AE2835" w:rsidRPr="003E7106" w:rsidRDefault="00AE2835" w:rsidP="007C56CE">
            <w:pPr>
              <w:pStyle w:val="TableText"/>
              <w:spacing w:before="0" w:line="240" w:lineRule="auto"/>
              <w:jc w:val="center"/>
            </w:pPr>
            <w:r w:rsidRPr="003E7106">
              <w:t>2</w:t>
            </w:r>
          </w:p>
        </w:tc>
        <w:tc>
          <w:tcPr>
            <w:tcW w:w="1064" w:type="dxa"/>
          </w:tcPr>
          <w:p w:rsidR="00AE2835" w:rsidRPr="003E7106" w:rsidRDefault="00AE2835" w:rsidP="007C56CE">
            <w:pPr>
              <w:pStyle w:val="TableText"/>
              <w:spacing w:before="0" w:line="240" w:lineRule="auto"/>
              <w:jc w:val="center"/>
            </w:pPr>
            <w:r w:rsidRPr="003E7106">
              <w:t>2</w:t>
            </w:r>
          </w:p>
        </w:tc>
      </w:tr>
      <w:tr w:rsidR="00AE2835" w:rsidRPr="003E7106" w:rsidTr="00D4133E">
        <w:trPr>
          <w:cantSplit/>
        </w:trPr>
        <w:tc>
          <w:tcPr>
            <w:tcW w:w="3261" w:type="dxa"/>
            <w:vMerge/>
            <w:shd w:val="clear" w:color="auto" w:fill="B8CCE4"/>
          </w:tcPr>
          <w:p w:rsidR="00AE2835" w:rsidRPr="003E7106" w:rsidRDefault="00AE2835" w:rsidP="007C56CE">
            <w:pPr>
              <w:pStyle w:val="TableText"/>
              <w:spacing w:line="240" w:lineRule="auto"/>
              <w:ind w:left="425" w:hanging="425"/>
              <w:rPr>
                <w:b/>
              </w:rPr>
            </w:pPr>
          </w:p>
        </w:tc>
        <w:tc>
          <w:tcPr>
            <w:tcW w:w="9213" w:type="dxa"/>
          </w:tcPr>
          <w:p w:rsidR="00AE2835" w:rsidRPr="003E7106" w:rsidRDefault="00AE2835" w:rsidP="007C56CE">
            <w:pPr>
              <w:pStyle w:val="TableText"/>
              <w:spacing w:before="0" w:line="240" w:lineRule="auto"/>
              <w:ind w:left="709" w:hanging="709"/>
              <w:rPr>
                <w:rFonts w:cs="Arial"/>
              </w:rPr>
            </w:pPr>
            <w:r w:rsidRPr="003E7106">
              <w:rPr>
                <w:rFonts w:cs="Arial"/>
              </w:rPr>
              <w:t>26978</w:t>
            </w:r>
            <w:r w:rsidR="00E27E97" w:rsidRPr="003E7106">
              <w:rPr>
                <w:rFonts w:cs="Arial"/>
              </w:rPr>
              <w:tab/>
            </w:r>
            <w:r w:rsidRPr="003E7106">
              <w:rPr>
                <w:rFonts w:cs="Arial"/>
              </w:rPr>
              <w:t>Support a person to eat and drink in a health or wellbeing setting</w:t>
            </w:r>
          </w:p>
        </w:tc>
        <w:tc>
          <w:tcPr>
            <w:tcW w:w="1063" w:type="dxa"/>
          </w:tcPr>
          <w:p w:rsidR="00AE2835" w:rsidRPr="003E7106" w:rsidRDefault="00AE2835" w:rsidP="007C56CE">
            <w:pPr>
              <w:pStyle w:val="TableText"/>
              <w:spacing w:before="0" w:line="240" w:lineRule="auto"/>
              <w:jc w:val="center"/>
            </w:pPr>
            <w:r w:rsidRPr="003E7106">
              <w:t>2</w:t>
            </w:r>
          </w:p>
        </w:tc>
        <w:tc>
          <w:tcPr>
            <w:tcW w:w="1064" w:type="dxa"/>
          </w:tcPr>
          <w:p w:rsidR="00AE2835" w:rsidRPr="003E7106" w:rsidRDefault="00AE2835" w:rsidP="007C56CE">
            <w:pPr>
              <w:pStyle w:val="TableText"/>
              <w:spacing w:before="0" w:line="240" w:lineRule="auto"/>
              <w:jc w:val="center"/>
            </w:pPr>
            <w:r w:rsidRPr="003E7106">
              <w:t>4</w:t>
            </w:r>
          </w:p>
        </w:tc>
      </w:tr>
      <w:tr w:rsidR="00AE2835" w:rsidRPr="003E7106" w:rsidTr="00D4133E">
        <w:trPr>
          <w:cantSplit/>
        </w:trPr>
        <w:tc>
          <w:tcPr>
            <w:tcW w:w="3261" w:type="dxa"/>
            <w:vMerge/>
            <w:shd w:val="clear" w:color="auto" w:fill="B8CCE4"/>
          </w:tcPr>
          <w:p w:rsidR="00AE2835" w:rsidRPr="003E7106" w:rsidRDefault="00AE2835" w:rsidP="007C56CE">
            <w:pPr>
              <w:pStyle w:val="TableText"/>
              <w:spacing w:line="240" w:lineRule="auto"/>
              <w:ind w:left="425" w:hanging="425"/>
              <w:rPr>
                <w:b/>
              </w:rPr>
            </w:pPr>
          </w:p>
        </w:tc>
        <w:tc>
          <w:tcPr>
            <w:tcW w:w="9213" w:type="dxa"/>
          </w:tcPr>
          <w:p w:rsidR="00AE2835" w:rsidRPr="003E7106" w:rsidRDefault="00AE2835" w:rsidP="007C56CE">
            <w:pPr>
              <w:pStyle w:val="TableText"/>
              <w:spacing w:before="0" w:line="240" w:lineRule="auto"/>
              <w:ind w:left="709" w:hanging="709"/>
              <w:rPr>
                <w:rFonts w:cs="Arial"/>
              </w:rPr>
            </w:pPr>
            <w:r w:rsidRPr="003E7106">
              <w:rPr>
                <w:rFonts w:cs="Arial"/>
              </w:rPr>
              <w:t>26979</w:t>
            </w:r>
            <w:r w:rsidR="00E27E97" w:rsidRPr="003E7106">
              <w:rPr>
                <w:rFonts w:cs="Arial"/>
              </w:rPr>
              <w:tab/>
            </w:r>
            <w:r w:rsidRPr="003E7106">
              <w:rPr>
                <w:rFonts w:cs="Arial"/>
              </w:rPr>
              <w:t>Describe the immediate response to the death of a person in a health or wellbeing setting</w:t>
            </w:r>
          </w:p>
        </w:tc>
        <w:tc>
          <w:tcPr>
            <w:tcW w:w="1063" w:type="dxa"/>
          </w:tcPr>
          <w:p w:rsidR="00AE2835" w:rsidRPr="003E7106" w:rsidRDefault="00AE2835" w:rsidP="007C56CE">
            <w:pPr>
              <w:pStyle w:val="TableText"/>
              <w:spacing w:before="0" w:line="240" w:lineRule="auto"/>
              <w:jc w:val="center"/>
            </w:pPr>
            <w:r w:rsidRPr="003E7106">
              <w:t>2</w:t>
            </w:r>
          </w:p>
        </w:tc>
        <w:tc>
          <w:tcPr>
            <w:tcW w:w="1064" w:type="dxa"/>
          </w:tcPr>
          <w:p w:rsidR="00AE2835" w:rsidRPr="003E7106" w:rsidRDefault="00AE2835" w:rsidP="007C56CE">
            <w:pPr>
              <w:pStyle w:val="TableText"/>
              <w:spacing w:before="0" w:line="240" w:lineRule="auto"/>
              <w:jc w:val="center"/>
            </w:pPr>
            <w:r w:rsidRPr="003E7106">
              <w:t>2</w:t>
            </w:r>
          </w:p>
        </w:tc>
      </w:tr>
      <w:tr w:rsidR="00AE2835" w:rsidRPr="003E7106" w:rsidTr="00D4133E">
        <w:trPr>
          <w:cantSplit/>
        </w:trPr>
        <w:tc>
          <w:tcPr>
            <w:tcW w:w="3261" w:type="dxa"/>
            <w:vMerge/>
            <w:shd w:val="clear" w:color="auto" w:fill="B8CCE4"/>
          </w:tcPr>
          <w:p w:rsidR="00AE2835" w:rsidRPr="003E7106" w:rsidRDefault="00AE2835" w:rsidP="007C56CE">
            <w:pPr>
              <w:pStyle w:val="TableText"/>
              <w:spacing w:line="240" w:lineRule="auto"/>
              <w:ind w:left="425" w:hanging="425"/>
              <w:rPr>
                <w:b/>
              </w:rPr>
            </w:pPr>
          </w:p>
        </w:tc>
        <w:tc>
          <w:tcPr>
            <w:tcW w:w="9213" w:type="dxa"/>
          </w:tcPr>
          <w:p w:rsidR="00AE2835" w:rsidRPr="003E7106" w:rsidRDefault="00AE2835" w:rsidP="007C56CE">
            <w:pPr>
              <w:pStyle w:val="TableText"/>
              <w:spacing w:before="0" w:line="240" w:lineRule="auto"/>
              <w:ind w:left="709" w:hanging="709"/>
              <w:rPr>
                <w:rFonts w:cs="Arial"/>
              </w:rPr>
            </w:pPr>
            <w:r w:rsidRPr="003E7106">
              <w:rPr>
                <w:rFonts w:cs="Arial"/>
              </w:rPr>
              <w:t>28546</w:t>
            </w:r>
            <w:r w:rsidR="00E27E97" w:rsidRPr="003E7106">
              <w:rPr>
                <w:rFonts w:cs="Arial"/>
              </w:rPr>
              <w:tab/>
            </w:r>
            <w:r w:rsidRPr="003E7106">
              <w:rPr>
                <w:rFonts w:cs="Arial"/>
              </w:rPr>
              <w:t>Describe incontinence and interventions to assist a person in a health or wellbeing setting</w:t>
            </w:r>
          </w:p>
        </w:tc>
        <w:tc>
          <w:tcPr>
            <w:tcW w:w="1063" w:type="dxa"/>
          </w:tcPr>
          <w:p w:rsidR="00AE2835" w:rsidRPr="003E7106" w:rsidRDefault="00AE2835" w:rsidP="007C56CE">
            <w:pPr>
              <w:pStyle w:val="TableText"/>
              <w:spacing w:before="0" w:line="240" w:lineRule="auto"/>
              <w:jc w:val="center"/>
            </w:pPr>
            <w:r w:rsidRPr="003E7106">
              <w:t>3</w:t>
            </w:r>
          </w:p>
        </w:tc>
        <w:tc>
          <w:tcPr>
            <w:tcW w:w="1064" w:type="dxa"/>
          </w:tcPr>
          <w:p w:rsidR="00AE2835" w:rsidRPr="003E7106" w:rsidRDefault="00AE2835" w:rsidP="007C56CE">
            <w:pPr>
              <w:pStyle w:val="TableText"/>
              <w:spacing w:before="0" w:line="240" w:lineRule="auto"/>
              <w:jc w:val="center"/>
            </w:pPr>
            <w:r w:rsidRPr="003E7106">
              <w:t>5</w:t>
            </w:r>
          </w:p>
        </w:tc>
      </w:tr>
      <w:tr w:rsidR="00AE2835" w:rsidRPr="003E7106" w:rsidTr="00D4133E">
        <w:trPr>
          <w:cantSplit/>
        </w:trPr>
        <w:tc>
          <w:tcPr>
            <w:tcW w:w="3261" w:type="dxa"/>
            <w:vMerge/>
            <w:shd w:val="clear" w:color="auto" w:fill="B8CCE4"/>
          </w:tcPr>
          <w:p w:rsidR="00AE2835" w:rsidRPr="003E7106" w:rsidRDefault="00AE2835" w:rsidP="007C56CE">
            <w:pPr>
              <w:pStyle w:val="TableText"/>
              <w:spacing w:line="240" w:lineRule="auto"/>
              <w:ind w:left="425" w:hanging="425"/>
              <w:rPr>
                <w:b/>
              </w:rPr>
            </w:pPr>
          </w:p>
        </w:tc>
        <w:tc>
          <w:tcPr>
            <w:tcW w:w="9213" w:type="dxa"/>
          </w:tcPr>
          <w:p w:rsidR="00AE2835" w:rsidRPr="003E7106" w:rsidRDefault="00AE2835" w:rsidP="007C56CE">
            <w:pPr>
              <w:pStyle w:val="TableText"/>
              <w:spacing w:before="0" w:line="240" w:lineRule="auto"/>
              <w:ind w:left="709" w:hanging="709"/>
              <w:rPr>
                <w:rFonts w:cs="Arial"/>
              </w:rPr>
            </w:pPr>
            <w:r w:rsidRPr="003E7106">
              <w:rPr>
                <w:rFonts w:cs="Arial"/>
              </w:rPr>
              <w:t>28548</w:t>
            </w:r>
            <w:r w:rsidR="00E27E97" w:rsidRPr="003E7106">
              <w:rPr>
                <w:rFonts w:cs="Arial"/>
              </w:rPr>
              <w:tab/>
            </w:r>
            <w:r w:rsidRPr="003E7106">
              <w:rPr>
                <w:rFonts w:cs="Arial"/>
              </w:rPr>
              <w:t>Support a person</w:t>
            </w:r>
            <w:r w:rsidR="0082259D" w:rsidRPr="003E7106">
              <w:rPr>
                <w:rFonts w:cs="Arial"/>
              </w:rPr>
              <w:t>’</w:t>
            </w:r>
            <w:r w:rsidRPr="003E7106">
              <w:rPr>
                <w:rFonts w:cs="Arial"/>
              </w:rPr>
              <w:t>s wellbeing and quality of life in a health or wellbeing setting</w:t>
            </w:r>
          </w:p>
        </w:tc>
        <w:tc>
          <w:tcPr>
            <w:tcW w:w="1063" w:type="dxa"/>
          </w:tcPr>
          <w:p w:rsidR="00AE2835" w:rsidRPr="003E7106" w:rsidRDefault="00AE2835" w:rsidP="007C56CE">
            <w:pPr>
              <w:pStyle w:val="TableText"/>
              <w:spacing w:before="0" w:line="240" w:lineRule="auto"/>
              <w:jc w:val="center"/>
            </w:pPr>
            <w:r w:rsidRPr="003E7106">
              <w:t>2</w:t>
            </w:r>
          </w:p>
        </w:tc>
        <w:tc>
          <w:tcPr>
            <w:tcW w:w="1064" w:type="dxa"/>
          </w:tcPr>
          <w:p w:rsidR="00AE2835" w:rsidRPr="003E7106" w:rsidRDefault="00AE2835" w:rsidP="007C56CE">
            <w:pPr>
              <w:pStyle w:val="TableText"/>
              <w:spacing w:before="0" w:line="240" w:lineRule="auto"/>
              <w:jc w:val="center"/>
            </w:pPr>
            <w:r w:rsidRPr="003E7106">
              <w:t>3</w:t>
            </w:r>
          </w:p>
        </w:tc>
      </w:tr>
      <w:tr w:rsidR="00AE2835" w:rsidRPr="003E7106" w:rsidTr="00D4133E">
        <w:trPr>
          <w:cantSplit/>
        </w:trPr>
        <w:tc>
          <w:tcPr>
            <w:tcW w:w="3261" w:type="dxa"/>
            <w:vMerge w:val="restart"/>
            <w:shd w:val="clear" w:color="auto" w:fill="B8CCE4"/>
          </w:tcPr>
          <w:p w:rsidR="00AE2835" w:rsidRPr="003E7106" w:rsidRDefault="00D4133E" w:rsidP="007C56CE">
            <w:pPr>
              <w:pStyle w:val="TableText"/>
              <w:spacing w:line="240" w:lineRule="auto"/>
              <w:ind w:left="425" w:hanging="425"/>
              <w:rPr>
                <w:b/>
              </w:rPr>
            </w:pPr>
            <w:r w:rsidRPr="003E7106">
              <w:rPr>
                <w:b/>
              </w:rPr>
              <w:t>3.</w:t>
            </w:r>
            <w:r w:rsidRPr="003E7106">
              <w:rPr>
                <w:b/>
              </w:rPr>
              <w:tab/>
            </w:r>
            <w:r w:rsidR="00AE2835" w:rsidRPr="003E7106">
              <w:rPr>
                <w:b/>
              </w:rPr>
              <w:t>Recognise and report risks and/or changes in a person and/or family/whānau</w:t>
            </w:r>
          </w:p>
        </w:tc>
        <w:tc>
          <w:tcPr>
            <w:tcW w:w="11340" w:type="dxa"/>
            <w:gridSpan w:val="3"/>
            <w:shd w:val="clear" w:color="auto" w:fill="DBE5F1" w:themeFill="accent1" w:themeFillTint="33"/>
          </w:tcPr>
          <w:p w:rsidR="00AE2835" w:rsidRPr="003E7106" w:rsidRDefault="00AE2835" w:rsidP="007C56CE">
            <w:pPr>
              <w:pStyle w:val="TableText"/>
              <w:spacing w:line="240" w:lineRule="auto"/>
              <w:rPr>
                <w:b/>
              </w:rPr>
            </w:pPr>
            <w:r w:rsidRPr="003E7106">
              <w:rPr>
                <w:b/>
              </w:rPr>
              <w:t>Compulsory:</w:t>
            </w:r>
          </w:p>
        </w:tc>
      </w:tr>
      <w:tr w:rsidR="00AE2835" w:rsidRPr="003E7106" w:rsidTr="00D4133E">
        <w:trPr>
          <w:cantSplit/>
        </w:trPr>
        <w:tc>
          <w:tcPr>
            <w:tcW w:w="3261" w:type="dxa"/>
            <w:vMerge/>
            <w:shd w:val="clear" w:color="auto" w:fill="B8CCE4"/>
          </w:tcPr>
          <w:p w:rsidR="00AE2835" w:rsidRPr="003E7106" w:rsidRDefault="00AE2835" w:rsidP="007C56CE">
            <w:pPr>
              <w:pStyle w:val="TableText"/>
              <w:spacing w:line="240" w:lineRule="auto"/>
              <w:ind w:left="425" w:hanging="425"/>
              <w:rPr>
                <w:b/>
              </w:rPr>
            </w:pPr>
          </w:p>
        </w:tc>
        <w:tc>
          <w:tcPr>
            <w:tcW w:w="9213" w:type="dxa"/>
          </w:tcPr>
          <w:p w:rsidR="00AE2835" w:rsidRPr="003E7106" w:rsidRDefault="00AE2835" w:rsidP="007C56CE">
            <w:pPr>
              <w:pStyle w:val="TableText"/>
              <w:spacing w:line="240" w:lineRule="auto"/>
              <w:ind w:left="709" w:hanging="709"/>
            </w:pPr>
            <w:r w:rsidRPr="003E7106">
              <w:t>28517</w:t>
            </w:r>
            <w:r w:rsidR="00E27E97" w:rsidRPr="003E7106">
              <w:tab/>
            </w:r>
            <w:r w:rsidRPr="003E7106">
              <w:t>Recognise and report risks and changes for a person in a health or wellbeing setting</w:t>
            </w:r>
          </w:p>
        </w:tc>
        <w:tc>
          <w:tcPr>
            <w:tcW w:w="1063" w:type="dxa"/>
          </w:tcPr>
          <w:p w:rsidR="00AE2835" w:rsidRPr="003E7106" w:rsidRDefault="00AE2835" w:rsidP="007C56CE">
            <w:pPr>
              <w:pStyle w:val="TableText"/>
              <w:spacing w:line="240" w:lineRule="auto"/>
              <w:jc w:val="center"/>
            </w:pPr>
            <w:r w:rsidRPr="003E7106">
              <w:t>2</w:t>
            </w:r>
          </w:p>
        </w:tc>
        <w:tc>
          <w:tcPr>
            <w:tcW w:w="1064" w:type="dxa"/>
          </w:tcPr>
          <w:p w:rsidR="00AE2835" w:rsidRPr="003E7106" w:rsidRDefault="00AE2835" w:rsidP="007C56CE">
            <w:pPr>
              <w:pStyle w:val="TableText"/>
              <w:spacing w:line="240" w:lineRule="auto"/>
              <w:jc w:val="center"/>
            </w:pPr>
            <w:r w:rsidRPr="003E7106">
              <w:t>5</w:t>
            </w:r>
          </w:p>
        </w:tc>
      </w:tr>
      <w:tr w:rsidR="00AE2835" w:rsidRPr="003E7106" w:rsidTr="00D4133E">
        <w:trPr>
          <w:cantSplit/>
        </w:trPr>
        <w:tc>
          <w:tcPr>
            <w:tcW w:w="3261" w:type="dxa"/>
            <w:vMerge w:val="restart"/>
            <w:shd w:val="clear" w:color="auto" w:fill="B8CCE4"/>
          </w:tcPr>
          <w:p w:rsidR="00AE2835" w:rsidRPr="003E7106" w:rsidRDefault="00D4133E" w:rsidP="007C56CE">
            <w:pPr>
              <w:pStyle w:val="TableText"/>
              <w:spacing w:line="240" w:lineRule="auto"/>
              <w:ind w:left="425" w:hanging="425"/>
              <w:rPr>
                <w:b/>
              </w:rPr>
            </w:pPr>
            <w:r w:rsidRPr="003E7106">
              <w:rPr>
                <w:b/>
              </w:rPr>
              <w:t>4.</w:t>
            </w:r>
            <w:r w:rsidRPr="003E7106">
              <w:rPr>
                <w:b/>
              </w:rPr>
              <w:tab/>
            </w:r>
            <w:r w:rsidR="00AE2835" w:rsidRPr="003E7106">
              <w:rPr>
                <w:b/>
              </w:rPr>
              <w:t>Communicate to support a person</w:t>
            </w:r>
            <w:r w:rsidR="0082259D" w:rsidRPr="003E7106">
              <w:rPr>
                <w:b/>
              </w:rPr>
              <w:t>’</w:t>
            </w:r>
            <w:r w:rsidR="00AE2835" w:rsidRPr="003E7106">
              <w:rPr>
                <w:b/>
              </w:rPr>
              <w:t>s health or wellbeing</w:t>
            </w:r>
          </w:p>
        </w:tc>
        <w:tc>
          <w:tcPr>
            <w:tcW w:w="11340" w:type="dxa"/>
            <w:gridSpan w:val="3"/>
            <w:shd w:val="clear" w:color="auto" w:fill="DBE5F1" w:themeFill="accent1" w:themeFillTint="33"/>
          </w:tcPr>
          <w:p w:rsidR="00AE2835" w:rsidRPr="003E7106" w:rsidRDefault="00AE2835" w:rsidP="007C56CE">
            <w:pPr>
              <w:pStyle w:val="TableText"/>
              <w:spacing w:line="240" w:lineRule="auto"/>
              <w:rPr>
                <w:b/>
              </w:rPr>
            </w:pPr>
            <w:r w:rsidRPr="003E7106">
              <w:rPr>
                <w:b/>
              </w:rPr>
              <w:t>Compulsory:</w:t>
            </w:r>
          </w:p>
        </w:tc>
      </w:tr>
      <w:tr w:rsidR="00AE2835" w:rsidRPr="003E7106" w:rsidTr="00D4133E">
        <w:trPr>
          <w:cantSplit/>
        </w:trPr>
        <w:tc>
          <w:tcPr>
            <w:tcW w:w="3261" w:type="dxa"/>
            <w:vMerge/>
            <w:shd w:val="clear" w:color="auto" w:fill="B8CCE4"/>
          </w:tcPr>
          <w:p w:rsidR="00AE2835" w:rsidRPr="003E7106" w:rsidRDefault="00AE2835" w:rsidP="007C56CE">
            <w:pPr>
              <w:pStyle w:val="TableText"/>
              <w:spacing w:line="240" w:lineRule="auto"/>
            </w:pPr>
          </w:p>
        </w:tc>
        <w:tc>
          <w:tcPr>
            <w:tcW w:w="9213" w:type="dxa"/>
          </w:tcPr>
          <w:p w:rsidR="00AE2835" w:rsidRPr="003E7106" w:rsidRDefault="00AE2835" w:rsidP="007C56CE">
            <w:pPr>
              <w:pStyle w:val="TableText"/>
              <w:spacing w:line="240" w:lineRule="auto"/>
              <w:ind w:left="709" w:hanging="709"/>
            </w:pPr>
            <w:r w:rsidRPr="003E7106">
              <w:t>28518</w:t>
            </w:r>
            <w:r w:rsidR="00E27E97" w:rsidRPr="003E7106">
              <w:tab/>
            </w:r>
            <w:r w:rsidRPr="003E7106">
              <w:t>Interact with people to provide support in a health or wellbeing setting</w:t>
            </w:r>
          </w:p>
        </w:tc>
        <w:tc>
          <w:tcPr>
            <w:tcW w:w="1063" w:type="dxa"/>
          </w:tcPr>
          <w:p w:rsidR="00AE2835" w:rsidRPr="003E7106" w:rsidRDefault="00AE2835" w:rsidP="007C56CE">
            <w:pPr>
              <w:pStyle w:val="TableText"/>
              <w:spacing w:line="240" w:lineRule="auto"/>
              <w:jc w:val="center"/>
            </w:pPr>
            <w:r w:rsidRPr="003E7106">
              <w:t>2</w:t>
            </w:r>
          </w:p>
        </w:tc>
        <w:tc>
          <w:tcPr>
            <w:tcW w:w="1064" w:type="dxa"/>
          </w:tcPr>
          <w:p w:rsidR="00AE2835" w:rsidRPr="003E7106" w:rsidRDefault="00AE2835" w:rsidP="007C56CE">
            <w:pPr>
              <w:pStyle w:val="TableText"/>
              <w:spacing w:line="240" w:lineRule="auto"/>
              <w:jc w:val="center"/>
            </w:pPr>
            <w:r w:rsidRPr="003E7106">
              <w:t>5</w:t>
            </w:r>
          </w:p>
        </w:tc>
      </w:tr>
    </w:tbl>
    <w:p w:rsidR="00AE2835" w:rsidRPr="003E7106" w:rsidRDefault="00AE2835" w:rsidP="00D4133E"/>
    <w:p w:rsidR="00AE2835" w:rsidRPr="003E7106" w:rsidRDefault="00AE2835" w:rsidP="00D4133E">
      <w:pPr>
        <w:pStyle w:val="Heading2"/>
        <w:keepNext/>
      </w:pPr>
      <w:bookmarkStart w:id="107" w:name="_Toc423677715"/>
      <w:bookmarkStart w:id="108" w:name="_Toc426009432"/>
      <w:r w:rsidRPr="003E7106">
        <w:t>Level 3 qualification</w:t>
      </w:r>
      <w:bookmarkEnd w:id="107"/>
      <w:bookmarkEnd w:id="108"/>
    </w:p>
    <w:tbl>
      <w:tblPr>
        <w:tblW w:w="14601" w:type="dxa"/>
        <w:tblInd w:w="108" w:type="dxa"/>
        <w:tblLayout w:type="fixed"/>
        <w:tblLook w:val="04A0" w:firstRow="1" w:lastRow="0" w:firstColumn="1" w:lastColumn="0" w:noHBand="0" w:noVBand="1"/>
      </w:tblPr>
      <w:tblGrid>
        <w:gridCol w:w="3261"/>
        <w:gridCol w:w="9355"/>
        <w:gridCol w:w="992"/>
        <w:gridCol w:w="993"/>
      </w:tblGrid>
      <w:tr w:rsidR="00D4133E" w:rsidRPr="003E7106" w:rsidTr="00254978">
        <w:trPr>
          <w:cantSplit/>
          <w:tblHeader/>
        </w:trPr>
        <w:tc>
          <w:tcPr>
            <w:tcW w:w="3261" w:type="dxa"/>
            <w:shd w:val="clear" w:color="auto" w:fill="1F497D"/>
          </w:tcPr>
          <w:p w:rsidR="00AE2835" w:rsidRPr="003E7106" w:rsidRDefault="00AE2835" w:rsidP="007C56CE">
            <w:pPr>
              <w:pStyle w:val="TableText"/>
              <w:keepNext/>
              <w:spacing w:line="240" w:lineRule="auto"/>
              <w:rPr>
                <w:b/>
                <w:color w:val="FFFFFF" w:themeColor="background1"/>
              </w:rPr>
            </w:pPr>
            <w:r w:rsidRPr="003E7106">
              <w:rPr>
                <w:b/>
                <w:color w:val="FFFFFF" w:themeColor="background1"/>
              </w:rPr>
              <w:t>Outcome</w:t>
            </w:r>
          </w:p>
        </w:tc>
        <w:tc>
          <w:tcPr>
            <w:tcW w:w="9355" w:type="dxa"/>
            <w:shd w:val="clear" w:color="auto" w:fill="1F497D"/>
          </w:tcPr>
          <w:p w:rsidR="00AE2835" w:rsidRPr="003E7106" w:rsidRDefault="00AE2835" w:rsidP="007C56CE">
            <w:pPr>
              <w:pStyle w:val="TableText"/>
              <w:keepNext/>
              <w:spacing w:line="240" w:lineRule="auto"/>
              <w:rPr>
                <w:b/>
                <w:color w:val="FFFFFF" w:themeColor="background1"/>
              </w:rPr>
            </w:pPr>
            <w:r w:rsidRPr="003E7106">
              <w:rPr>
                <w:b/>
                <w:color w:val="FFFFFF" w:themeColor="background1"/>
              </w:rPr>
              <w:t>Unit standards</w:t>
            </w:r>
          </w:p>
        </w:tc>
        <w:tc>
          <w:tcPr>
            <w:tcW w:w="992" w:type="dxa"/>
            <w:shd w:val="clear" w:color="auto" w:fill="1F497D"/>
          </w:tcPr>
          <w:p w:rsidR="00AE2835" w:rsidRPr="003E7106" w:rsidRDefault="00AE2835" w:rsidP="007C56CE">
            <w:pPr>
              <w:pStyle w:val="TableText"/>
              <w:keepNext/>
              <w:spacing w:line="240" w:lineRule="auto"/>
              <w:jc w:val="center"/>
              <w:rPr>
                <w:b/>
                <w:color w:val="FFFFFF" w:themeColor="background1"/>
              </w:rPr>
            </w:pPr>
            <w:r w:rsidRPr="003E7106">
              <w:rPr>
                <w:b/>
                <w:color w:val="FFFFFF" w:themeColor="background1"/>
              </w:rPr>
              <w:t>Level</w:t>
            </w:r>
          </w:p>
        </w:tc>
        <w:tc>
          <w:tcPr>
            <w:tcW w:w="993" w:type="dxa"/>
            <w:shd w:val="clear" w:color="auto" w:fill="1F497D"/>
          </w:tcPr>
          <w:p w:rsidR="00AE2835" w:rsidRPr="003E7106" w:rsidRDefault="00AE2835" w:rsidP="007C56CE">
            <w:pPr>
              <w:pStyle w:val="TableText"/>
              <w:keepNext/>
              <w:spacing w:line="240" w:lineRule="auto"/>
              <w:jc w:val="center"/>
              <w:rPr>
                <w:b/>
                <w:color w:val="FFFFFF" w:themeColor="background1"/>
              </w:rPr>
            </w:pPr>
            <w:r w:rsidRPr="003E7106">
              <w:rPr>
                <w:b/>
                <w:color w:val="FFFFFF" w:themeColor="background1"/>
              </w:rPr>
              <w:t>Credit</w:t>
            </w:r>
          </w:p>
        </w:tc>
      </w:tr>
      <w:tr w:rsidR="00AE2835" w:rsidRPr="003E7106" w:rsidTr="00254978">
        <w:trPr>
          <w:cantSplit/>
        </w:trPr>
        <w:tc>
          <w:tcPr>
            <w:tcW w:w="3261" w:type="dxa"/>
            <w:vMerge w:val="restart"/>
            <w:shd w:val="clear" w:color="auto" w:fill="B8CCE4"/>
          </w:tcPr>
          <w:p w:rsidR="00AE2835" w:rsidRPr="003E7106" w:rsidRDefault="00D4133E" w:rsidP="007C56CE">
            <w:pPr>
              <w:pStyle w:val="TableText"/>
              <w:spacing w:line="240" w:lineRule="auto"/>
              <w:ind w:left="425" w:hanging="425"/>
            </w:pPr>
            <w:r w:rsidRPr="003E7106">
              <w:t>1.</w:t>
            </w:r>
            <w:r w:rsidRPr="003E7106">
              <w:tab/>
            </w:r>
            <w:r w:rsidR="00AE2835" w:rsidRPr="003E7106">
              <w:t>Recognise and respond to signs of vulnerability and abuse in a health or wellbeing setting</w:t>
            </w:r>
          </w:p>
        </w:tc>
        <w:tc>
          <w:tcPr>
            <w:tcW w:w="11340" w:type="dxa"/>
            <w:gridSpan w:val="3"/>
            <w:shd w:val="clear" w:color="auto" w:fill="DBE5F1" w:themeFill="accent1" w:themeFillTint="33"/>
          </w:tcPr>
          <w:p w:rsidR="00AE2835" w:rsidRPr="003E7106" w:rsidRDefault="00AE2835" w:rsidP="007C56CE">
            <w:pPr>
              <w:pStyle w:val="TableText"/>
              <w:spacing w:line="240" w:lineRule="auto"/>
              <w:rPr>
                <w:b/>
              </w:rPr>
            </w:pPr>
            <w:r w:rsidRPr="003E7106">
              <w:rPr>
                <w:b/>
              </w:rPr>
              <w:t>Compulsory:</w:t>
            </w:r>
          </w:p>
        </w:tc>
      </w:tr>
      <w:tr w:rsidR="00AE2835" w:rsidRPr="003E7106" w:rsidTr="00254978">
        <w:trPr>
          <w:cantSplit/>
        </w:trPr>
        <w:tc>
          <w:tcPr>
            <w:tcW w:w="3261" w:type="dxa"/>
            <w:vMerge/>
            <w:shd w:val="clear" w:color="auto" w:fill="B8CCE4"/>
          </w:tcPr>
          <w:p w:rsidR="00AE2835" w:rsidRPr="003E7106" w:rsidRDefault="00AE2835" w:rsidP="007C56CE">
            <w:pPr>
              <w:pStyle w:val="TableText"/>
              <w:spacing w:line="240" w:lineRule="auto"/>
              <w:ind w:left="425" w:hanging="425"/>
            </w:pPr>
          </w:p>
        </w:tc>
        <w:tc>
          <w:tcPr>
            <w:tcW w:w="9355" w:type="dxa"/>
          </w:tcPr>
          <w:p w:rsidR="00AE2835" w:rsidRPr="003E7106" w:rsidRDefault="00AE2835" w:rsidP="007C56CE">
            <w:pPr>
              <w:pStyle w:val="TableText"/>
              <w:spacing w:line="240" w:lineRule="auto"/>
              <w:ind w:left="709" w:hanging="709"/>
            </w:pPr>
            <w:r w:rsidRPr="003E7106">
              <w:t>28521</w:t>
            </w:r>
            <w:r w:rsidR="00A7059B" w:rsidRPr="003E7106">
              <w:tab/>
            </w:r>
            <w:r w:rsidRPr="003E7106">
              <w:t>Recognise and describe responses to vulnerability and abuse in a health and wellbeing setting</w:t>
            </w:r>
          </w:p>
        </w:tc>
        <w:tc>
          <w:tcPr>
            <w:tcW w:w="992" w:type="dxa"/>
          </w:tcPr>
          <w:p w:rsidR="00AE2835" w:rsidRPr="003E7106" w:rsidRDefault="00AE2835" w:rsidP="007C56CE">
            <w:pPr>
              <w:pStyle w:val="TableText"/>
              <w:spacing w:line="240" w:lineRule="auto"/>
              <w:jc w:val="center"/>
            </w:pPr>
            <w:r w:rsidRPr="003E7106">
              <w:t>3</w:t>
            </w:r>
          </w:p>
        </w:tc>
        <w:tc>
          <w:tcPr>
            <w:tcW w:w="993" w:type="dxa"/>
          </w:tcPr>
          <w:p w:rsidR="00AE2835" w:rsidRPr="003E7106" w:rsidRDefault="00AE2835" w:rsidP="007C56CE">
            <w:pPr>
              <w:pStyle w:val="TableText"/>
              <w:spacing w:line="240" w:lineRule="auto"/>
              <w:jc w:val="center"/>
            </w:pPr>
            <w:r w:rsidRPr="003E7106">
              <w:t>5</w:t>
            </w:r>
          </w:p>
        </w:tc>
      </w:tr>
      <w:tr w:rsidR="00AE2835" w:rsidRPr="003E7106" w:rsidTr="00254978">
        <w:trPr>
          <w:cantSplit/>
        </w:trPr>
        <w:tc>
          <w:tcPr>
            <w:tcW w:w="3261" w:type="dxa"/>
            <w:vMerge w:val="restart"/>
            <w:shd w:val="clear" w:color="auto" w:fill="B8CCE4"/>
          </w:tcPr>
          <w:p w:rsidR="00AE2835" w:rsidRPr="003E7106" w:rsidRDefault="00D4133E" w:rsidP="007C56CE">
            <w:pPr>
              <w:pStyle w:val="TableText"/>
              <w:spacing w:line="240" w:lineRule="auto"/>
              <w:ind w:left="425" w:hanging="425"/>
            </w:pPr>
            <w:r w:rsidRPr="003E7106">
              <w:t>2.</w:t>
            </w:r>
            <w:r w:rsidRPr="003E7106">
              <w:tab/>
            </w:r>
            <w:r w:rsidR="00AE2835" w:rsidRPr="003E7106">
              <w:t>Demonstrate ethical and professional behaviour in a health or wellbeing setting</w:t>
            </w:r>
          </w:p>
        </w:tc>
        <w:tc>
          <w:tcPr>
            <w:tcW w:w="11340" w:type="dxa"/>
            <w:gridSpan w:val="3"/>
            <w:shd w:val="clear" w:color="auto" w:fill="DBE5F1" w:themeFill="accent1" w:themeFillTint="33"/>
          </w:tcPr>
          <w:p w:rsidR="00AE2835" w:rsidRPr="003E7106" w:rsidRDefault="00AE2835" w:rsidP="007C56CE">
            <w:pPr>
              <w:pStyle w:val="TableText"/>
              <w:spacing w:line="240" w:lineRule="auto"/>
              <w:rPr>
                <w:b/>
              </w:rPr>
            </w:pPr>
            <w:r w:rsidRPr="003E7106">
              <w:rPr>
                <w:b/>
              </w:rPr>
              <w:t>Compulsory:</w:t>
            </w:r>
          </w:p>
        </w:tc>
      </w:tr>
      <w:tr w:rsidR="00AE2835" w:rsidRPr="003E7106" w:rsidTr="00254978">
        <w:trPr>
          <w:cantSplit/>
        </w:trPr>
        <w:tc>
          <w:tcPr>
            <w:tcW w:w="3261" w:type="dxa"/>
            <w:vMerge/>
            <w:shd w:val="clear" w:color="auto" w:fill="B8CCE4"/>
          </w:tcPr>
          <w:p w:rsidR="00AE2835" w:rsidRPr="003E7106" w:rsidRDefault="00AE2835" w:rsidP="007C56CE">
            <w:pPr>
              <w:pStyle w:val="TableText"/>
              <w:spacing w:line="240" w:lineRule="auto"/>
              <w:ind w:left="425" w:hanging="425"/>
            </w:pPr>
          </w:p>
        </w:tc>
        <w:tc>
          <w:tcPr>
            <w:tcW w:w="9355" w:type="dxa"/>
          </w:tcPr>
          <w:p w:rsidR="00AE2835" w:rsidRPr="003E7106" w:rsidRDefault="00AE2835" w:rsidP="007C56CE">
            <w:pPr>
              <w:pStyle w:val="TableText"/>
              <w:spacing w:line="240" w:lineRule="auto"/>
              <w:ind w:left="709" w:hanging="709"/>
            </w:pPr>
            <w:r w:rsidRPr="003E7106">
              <w:t>28542</w:t>
            </w:r>
            <w:r w:rsidR="00A7059B" w:rsidRPr="003E7106">
              <w:tab/>
            </w:r>
            <w:r w:rsidRPr="003E7106">
              <w:rPr>
                <w:rFonts w:cs="Arial"/>
              </w:rPr>
              <w:t>Demonstrate and apply knowledge of professional and ethical behaviour in a health or wellbeing setting</w:t>
            </w:r>
          </w:p>
        </w:tc>
        <w:tc>
          <w:tcPr>
            <w:tcW w:w="992" w:type="dxa"/>
          </w:tcPr>
          <w:p w:rsidR="00AE2835" w:rsidRPr="003E7106" w:rsidRDefault="00AE2835" w:rsidP="007C56CE">
            <w:pPr>
              <w:pStyle w:val="TableText"/>
              <w:spacing w:line="240" w:lineRule="auto"/>
              <w:jc w:val="center"/>
            </w:pPr>
            <w:r w:rsidRPr="003E7106">
              <w:t>3</w:t>
            </w:r>
          </w:p>
        </w:tc>
        <w:tc>
          <w:tcPr>
            <w:tcW w:w="993" w:type="dxa"/>
          </w:tcPr>
          <w:p w:rsidR="00AE2835" w:rsidRPr="003E7106" w:rsidRDefault="00AE2835" w:rsidP="007C56CE">
            <w:pPr>
              <w:pStyle w:val="TableText"/>
              <w:spacing w:line="240" w:lineRule="auto"/>
              <w:jc w:val="center"/>
            </w:pPr>
            <w:r w:rsidRPr="003E7106">
              <w:t>5</w:t>
            </w:r>
          </w:p>
        </w:tc>
      </w:tr>
      <w:tr w:rsidR="00E27E97" w:rsidRPr="003E7106" w:rsidTr="00254978">
        <w:trPr>
          <w:cantSplit/>
        </w:trPr>
        <w:tc>
          <w:tcPr>
            <w:tcW w:w="3261" w:type="dxa"/>
            <w:vMerge w:val="restart"/>
            <w:shd w:val="clear" w:color="auto" w:fill="B8CCE4"/>
          </w:tcPr>
          <w:p w:rsidR="00E27E97" w:rsidRPr="003E7106" w:rsidRDefault="00E27E97" w:rsidP="007C56CE">
            <w:pPr>
              <w:pStyle w:val="TableText"/>
              <w:spacing w:line="240" w:lineRule="auto"/>
              <w:ind w:left="425" w:hanging="425"/>
            </w:pPr>
            <w:r w:rsidRPr="003E7106">
              <w:t>3.</w:t>
            </w:r>
            <w:r w:rsidRPr="003E7106">
              <w:tab/>
              <w:t>Provide person-centred support to maximise independence</w:t>
            </w:r>
          </w:p>
        </w:tc>
        <w:tc>
          <w:tcPr>
            <w:tcW w:w="11340" w:type="dxa"/>
            <w:gridSpan w:val="3"/>
            <w:shd w:val="clear" w:color="auto" w:fill="DBE5F1" w:themeFill="accent1" w:themeFillTint="33"/>
          </w:tcPr>
          <w:p w:rsidR="00E27E97" w:rsidRPr="003E7106" w:rsidRDefault="00E27E97" w:rsidP="007C56CE">
            <w:pPr>
              <w:pStyle w:val="TableText"/>
              <w:spacing w:line="240" w:lineRule="auto"/>
              <w:rPr>
                <w:b/>
              </w:rPr>
            </w:pPr>
            <w:r w:rsidRPr="003E7106">
              <w:rPr>
                <w:b/>
              </w:rPr>
              <w:t>Minimum of 56 credits from the following:</w:t>
            </w:r>
          </w:p>
        </w:tc>
      </w:tr>
      <w:tr w:rsidR="00E27E97" w:rsidRPr="003E7106" w:rsidTr="00254978">
        <w:trPr>
          <w:cantSplit/>
        </w:trPr>
        <w:tc>
          <w:tcPr>
            <w:tcW w:w="3261" w:type="dxa"/>
            <w:vMerge/>
            <w:shd w:val="clear" w:color="auto" w:fill="B8CCE4"/>
          </w:tcPr>
          <w:p w:rsidR="00E27E97" w:rsidRPr="003E7106" w:rsidRDefault="00E27E97" w:rsidP="007C56CE">
            <w:pPr>
              <w:pStyle w:val="TableText"/>
              <w:spacing w:line="240" w:lineRule="auto"/>
              <w:ind w:left="425" w:hanging="425"/>
            </w:pPr>
          </w:p>
        </w:tc>
        <w:tc>
          <w:tcPr>
            <w:tcW w:w="9355" w:type="dxa"/>
            <w:shd w:val="clear" w:color="auto" w:fill="auto"/>
          </w:tcPr>
          <w:p w:rsidR="00E27E97" w:rsidRPr="003E7106" w:rsidRDefault="00E27E97" w:rsidP="007C56CE">
            <w:pPr>
              <w:pStyle w:val="TableText"/>
              <w:spacing w:line="240" w:lineRule="auto"/>
              <w:ind w:left="709" w:hanging="709"/>
            </w:pPr>
            <w:r w:rsidRPr="003E7106">
              <w:t>1810</w:t>
            </w:r>
            <w:r w:rsidRPr="003E7106">
              <w:tab/>
            </w:r>
            <w:r w:rsidRPr="003E7106">
              <w:rPr>
                <w:rFonts w:cs="Arial"/>
              </w:rPr>
              <w:t>Provide information about resources and support services in a health and wellbeing setting</w:t>
            </w:r>
          </w:p>
        </w:tc>
        <w:tc>
          <w:tcPr>
            <w:tcW w:w="992" w:type="dxa"/>
            <w:shd w:val="clear" w:color="auto" w:fill="auto"/>
          </w:tcPr>
          <w:p w:rsidR="00E27E97" w:rsidRPr="003E7106" w:rsidRDefault="00E27E97" w:rsidP="007C56CE">
            <w:pPr>
              <w:pStyle w:val="TableText"/>
              <w:spacing w:line="240" w:lineRule="auto"/>
              <w:ind w:left="709" w:hanging="709"/>
              <w:jc w:val="center"/>
            </w:pPr>
            <w:r w:rsidRPr="003E7106">
              <w:t>3</w:t>
            </w:r>
          </w:p>
        </w:tc>
        <w:tc>
          <w:tcPr>
            <w:tcW w:w="993" w:type="dxa"/>
            <w:shd w:val="clear" w:color="auto" w:fill="auto"/>
          </w:tcPr>
          <w:p w:rsidR="00E27E97" w:rsidRPr="003E7106" w:rsidRDefault="00E27E97" w:rsidP="007C56CE">
            <w:pPr>
              <w:pStyle w:val="TableText"/>
              <w:spacing w:line="240" w:lineRule="auto"/>
              <w:ind w:left="709" w:hanging="709"/>
              <w:jc w:val="center"/>
            </w:pPr>
            <w:r w:rsidRPr="003E7106">
              <w:t>2</w:t>
            </w:r>
          </w:p>
        </w:tc>
      </w:tr>
      <w:tr w:rsidR="00E27E97" w:rsidRPr="003E7106" w:rsidTr="00254978">
        <w:trPr>
          <w:cantSplit/>
        </w:trPr>
        <w:tc>
          <w:tcPr>
            <w:tcW w:w="3261" w:type="dxa"/>
            <w:vMerge/>
            <w:shd w:val="clear" w:color="auto" w:fill="B8CCE4"/>
          </w:tcPr>
          <w:p w:rsidR="00E27E97" w:rsidRPr="003E7106" w:rsidRDefault="00E27E97" w:rsidP="007C56CE">
            <w:pPr>
              <w:pStyle w:val="TableText"/>
              <w:spacing w:line="240" w:lineRule="auto"/>
              <w:ind w:left="425" w:hanging="425"/>
            </w:pPr>
          </w:p>
        </w:tc>
        <w:tc>
          <w:tcPr>
            <w:tcW w:w="9355" w:type="dxa"/>
            <w:shd w:val="clear" w:color="auto" w:fill="auto"/>
          </w:tcPr>
          <w:p w:rsidR="00E27E97" w:rsidRPr="003E7106" w:rsidRDefault="00E27E97" w:rsidP="007C56CE">
            <w:pPr>
              <w:pStyle w:val="TableText"/>
              <w:spacing w:before="0" w:line="240" w:lineRule="auto"/>
              <w:ind w:left="709" w:hanging="709"/>
            </w:pPr>
            <w:r w:rsidRPr="003E7106">
              <w:rPr>
                <w:rFonts w:cs="Arial"/>
              </w:rPr>
              <w:t>1818</w:t>
            </w:r>
            <w:r w:rsidRPr="003E7106">
              <w:rPr>
                <w:rFonts w:cs="Arial"/>
              </w:rPr>
              <w:tab/>
              <w:t>Describe the value of relationships in people’s lives in a health or wellbeing setting</w:t>
            </w:r>
          </w:p>
        </w:tc>
        <w:tc>
          <w:tcPr>
            <w:tcW w:w="992" w:type="dxa"/>
            <w:shd w:val="clear" w:color="auto" w:fill="auto"/>
          </w:tcPr>
          <w:p w:rsidR="00E27E97" w:rsidRPr="003E7106" w:rsidRDefault="00E27E97" w:rsidP="007C56CE">
            <w:pPr>
              <w:pStyle w:val="TableText"/>
              <w:spacing w:before="0" w:line="240" w:lineRule="auto"/>
              <w:ind w:left="709" w:hanging="709"/>
              <w:jc w:val="center"/>
            </w:pPr>
            <w:r w:rsidRPr="003E7106">
              <w:t>3</w:t>
            </w:r>
          </w:p>
        </w:tc>
        <w:tc>
          <w:tcPr>
            <w:tcW w:w="993" w:type="dxa"/>
            <w:shd w:val="clear" w:color="auto" w:fill="auto"/>
          </w:tcPr>
          <w:p w:rsidR="00E27E97" w:rsidRPr="003E7106" w:rsidRDefault="00E27E97" w:rsidP="007C56CE">
            <w:pPr>
              <w:pStyle w:val="TableText"/>
              <w:spacing w:before="0" w:line="240" w:lineRule="auto"/>
              <w:ind w:left="709" w:hanging="709"/>
              <w:jc w:val="center"/>
            </w:pPr>
            <w:r w:rsidRPr="003E7106">
              <w:t>3</w:t>
            </w:r>
          </w:p>
        </w:tc>
      </w:tr>
      <w:tr w:rsidR="00E27E97" w:rsidRPr="003E7106" w:rsidTr="00254978">
        <w:trPr>
          <w:cantSplit/>
        </w:trPr>
        <w:tc>
          <w:tcPr>
            <w:tcW w:w="3261" w:type="dxa"/>
            <w:vMerge/>
            <w:shd w:val="clear" w:color="auto" w:fill="B8CCE4"/>
          </w:tcPr>
          <w:p w:rsidR="00E27E97" w:rsidRPr="003E7106" w:rsidRDefault="00E27E97" w:rsidP="007C56CE">
            <w:pPr>
              <w:pStyle w:val="TableText"/>
              <w:spacing w:line="240" w:lineRule="auto"/>
            </w:pPr>
          </w:p>
        </w:tc>
        <w:tc>
          <w:tcPr>
            <w:tcW w:w="9355" w:type="dxa"/>
          </w:tcPr>
          <w:p w:rsidR="00E27E97" w:rsidRPr="003E7106" w:rsidRDefault="00E27E97" w:rsidP="007C56CE">
            <w:pPr>
              <w:pStyle w:val="TableText"/>
              <w:spacing w:before="0" w:line="240" w:lineRule="auto"/>
              <w:ind w:left="709" w:hanging="709"/>
            </w:pPr>
            <w:r w:rsidRPr="003E7106">
              <w:rPr>
                <w:rFonts w:cs="Arial"/>
              </w:rPr>
              <w:t>1828</w:t>
            </w:r>
            <w:r w:rsidRPr="003E7106">
              <w:rPr>
                <w:rFonts w:cs="Arial"/>
              </w:rPr>
              <w:tab/>
              <w:t>Identify services available to people with disabilities</w:t>
            </w:r>
          </w:p>
        </w:tc>
        <w:tc>
          <w:tcPr>
            <w:tcW w:w="992" w:type="dxa"/>
          </w:tcPr>
          <w:p w:rsidR="00E27E97" w:rsidRPr="003E7106" w:rsidRDefault="00E27E97" w:rsidP="007C56CE">
            <w:pPr>
              <w:pStyle w:val="TableText"/>
              <w:spacing w:before="0" w:line="240" w:lineRule="auto"/>
              <w:ind w:left="709" w:hanging="709"/>
              <w:jc w:val="center"/>
            </w:pPr>
            <w:r w:rsidRPr="003E7106">
              <w:t>3</w:t>
            </w:r>
          </w:p>
        </w:tc>
        <w:tc>
          <w:tcPr>
            <w:tcW w:w="993" w:type="dxa"/>
          </w:tcPr>
          <w:p w:rsidR="00E27E97" w:rsidRPr="003E7106" w:rsidRDefault="00E27E97" w:rsidP="007C56CE">
            <w:pPr>
              <w:pStyle w:val="TableText"/>
              <w:spacing w:before="0" w:line="240" w:lineRule="auto"/>
              <w:ind w:left="709" w:hanging="709"/>
              <w:jc w:val="center"/>
            </w:pPr>
            <w:r w:rsidRPr="003E7106">
              <w:t>4</w:t>
            </w:r>
          </w:p>
        </w:tc>
      </w:tr>
      <w:tr w:rsidR="00E27E97" w:rsidRPr="003E7106" w:rsidTr="00254978">
        <w:trPr>
          <w:cantSplit/>
        </w:trPr>
        <w:tc>
          <w:tcPr>
            <w:tcW w:w="3261" w:type="dxa"/>
            <w:vMerge/>
            <w:shd w:val="clear" w:color="auto" w:fill="B8CCE4"/>
          </w:tcPr>
          <w:p w:rsidR="00E27E97" w:rsidRPr="003E7106" w:rsidRDefault="00E27E97" w:rsidP="007C56CE">
            <w:pPr>
              <w:pStyle w:val="TableText"/>
              <w:spacing w:line="240" w:lineRule="auto"/>
            </w:pPr>
          </w:p>
        </w:tc>
        <w:tc>
          <w:tcPr>
            <w:tcW w:w="9355" w:type="dxa"/>
          </w:tcPr>
          <w:p w:rsidR="00E27E97" w:rsidRPr="003E7106" w:rsidRDefault="00E27E97" w:rsidP="007C56CE">
            <w:pPr>
              <w:pStyle w:val="TableText"/>
              <w:spacing w:before="0" w:line="240" w:lineRule="auto"/>
              <w:ind w:left="709" w:hanging="709"/>
              <w:rPr>
                <w:rFonts w:cs="Arial"/>
              </w:rPr>
            </w:pPr>
            <w:r w:rsidRPr="003E7106">
              <w:t>9694</w:t>
            </w:r>
            <w:r w:rsidRPr="003E7106">
              <w:tab/>
            </w:r>
            <w:r w:rsidRPr="003E7106">
              <w:rPr>
                <w:rFonts w:cs="Arial"/>
              </w:rPr>
              <w:t>Demonstrate and apply knowledge of communication process theory</w:t>
            </w:r>
          </w:p>
        </w:tc>
        <w:tc>
          <w:tcPr>
            <w:tcW w:w="992" w:type="dxa"/>
          </w:tcPr>
          <w:p w:rsidR="00E27E97" w:rsidRPr="003E7106" w:rsidRDefault="00E27E97" w:rsidP="007C56CE">
            <w:pPr>
              <w:pStyle w:val="TableText"/>
              <w:spacing w:before="0" w:line="240" w:lineRule="auto"/>
              <w:ind w:left="709" w:hanging="709"/>
              <w:jc w:val="center"/>
            </w:pPr>
            <w:r w:rsidRPr="003E7106">
              <w:t>3</w:t>
            </w:r>
          </w:p>
        </w:tc>
        <w:tc>
          <w:tcPr>
            <w:tcW w:w="993" w:type="dxa"/>
          </w:tcPr>
          <w:p w:rsidR="00E27E97" w:rsidRPr="003E7106" w:rsidRDefault="00E27E97" w:rsidP="007C56CE">
            <w:pPr>
              <w:pStyle w:val="TableText"/>
              <w:spacing w:before="0" w:line="240" w:lineRule="auto"/>
              <w:ind w:left="709" w:hanging="709"/>
              <w:jc w:val="center"/>
            </w:pPr>
            <w:r w:rsidRPr="003E7106">
              <w:t>5</w:t>
            </w:r>
          </w:p>
        </w:tc>
      </w:tr>
      <w:tr w:rsidR="00E27E97" w:rsidRPr="003E7106" w:rsidTr="00254978">
        <w:trPr>
          <w:cantSplit/>
        </w:trPr>
        <w:tc>
          <w:tcPr>
            <w:tcW w:w="3261" w:type="dxa"/>
            <w:vMerge/>
            <w:shd w:val="clear" w:color="auto" w:fill="B8CCE4"/>
          </w:tcPr>
          <w:p w:rsidR="00E27E97" w:rsidRPr="003E7106" w:rsidRDefault="00E27E97" w:rsidP="007C56CE">
            <w:pPr>
              <w:pStyle w:val="TableText"/>
              <w:spacing w:line="240" w:lineRule="auto"/>
            </w:pPr>
          </w:p>
        </w:tc>
        <w:tc>
          <w:tcPr>
            <w:tcW w:w="9355" w:type="dxa"/>
          </w:tcPr>
          <w:p w:rsidR="00E27E97" w:rsidRPr="003E7106" w:rsidRDefault="00E27E97" w:rsidP="007C56CE">
            <w:pPr>
              <w:pStyle w:val="TableText"/>
              <w:spacing w:before="0" w:line="240" w:lineRule="auto"/>
              <w:ind w:left="709" w:hanging="709"/>
              <w:rPr>
                <w:rFonts w:cs="Arial"/>
              </w:rPr>
            </w:pPr>
            <w:r w:rsidRPr="003E7106">
              <w:t>16870</w:t>
            </w:r>
            <w:r w:rsidRPr="003E7106">
              <w:tab/>
            </w:r>
            <w:r w:rsidRPr="003E7106">
              <w:rPr>
                <w:rFonts w:cs="Arial"/>
              </w:rPr>
              <w:t>Describe intellectual disability and the support needs of a person with an intellectual disability</w:t>
            </w:r>
          </w:p>
        </w:tc>
        <w:tc>
          <w:tcPr>
            <w:tcW w:w="992" w:type="dxa"/>
          </w:tcPr>
          <w:p w:rsidR="00E27E97" w:rsidRPr="003E7106" w:rsidRDefault="00E27E97" w:rsidP="007C56CE">
            <w:pPr>
              <w:pStyle w:val="TableText"/>
              <w:spacing w:before="0" w:line="240" w:lineRule="auto"/>
              <w:ind w:left="709" w:hanging="709"/>
              <w:jc w:val="center"/>
            </w:pPr>
            <w:r w:rsidRPr="003E7106">
              <w:t>3</w:t>
            </w:r>
          </w:p>
        </w:tc>
        <w:tc>
          <w:tcPr>
            <w:tcW w:w="993" w:type="dxa"/>
          </w:tcPr>
          <w:p w:rsidR="00E27E97" w:rsidRPr="003E7106" w:rsidRDefault="00E27E97" w:rsidP="007C56CE">
            <w:pPr>
              <w:pStyle w:val="TableText"/>
              <w:spacing w:before="0" w:line="240" w:lineRule="auto"/>
              <w:ind w:left="709" w:hanging="709"/>
              <w:jc w:val="center"/>
            </w:pPr>
            <w:r w:rsidRPr="003E7106">
              <w:t>4</w:t>
            </w:r>
          </w:p>
        </w:tc>
      </w:tr>
      <w:tr w:rsidR="00E27E97" w:rsidRPr="003E7106" w:rsidTr="00254978">
        <w:trPr>
          <w:cantSplit/>
        </w:trPr>
        <w:tc>
          <w:tcPr>
            <w:tcW w:w="3261" w:type="dxa"/>
            <w:vMerge/>
            <w:shd w:val="clear" w:color="auto" w:fill="B8CCE4"/>
          </w:tcPr>
          <w:p w:rsidR="00E27E97" w:rsidRPr="003E7106" w:rsidRDefault="00E27E97" w:rsidP="007C56CE">
            <w:pPr>
              <w:pStyle w:val="TableText"/>
              <w:spacing w:line="240" w:lineRule="auto"/>
              <w:rPr>
                <w:rFonts w:cs="Arial"/>
                <w:color w:val="000000"/>
              </w:rPr>
            </w:pPr>
          </w:p>
        </w:tc>
        <w:tc>
          <w:tcPr>
            <w:tcW w:w="9355" w:type="dxa"/>
          </w:tcPr>
          <w:p w:rsidR="00E27E97" w:rsidRPr="003E7106" w:rsidRDefault="00E27E97" w:rsidP="007C56CE">
            <w:pPr>
              <w:pStyle w:val="TableText"/>
              <w:spacing w:before="0" w:line="240" w:lineRule="auto"/>
              <w:ind w:left="709" w:hanging="709"/>
              <w:rPr>
                <w:rFonts w:cs="Arial"/>
              </w:rPr>
            </w:pPr>
            <w:r w:rsidRPr="003E7106">
              <w:rPr>
                <w:rFonts w:cs="Arial"/>
              </w:rPr>
              <w:t>16871</w:t>
            </w:r>
            <w:r w:rsidRPr="003E7106">
              <w:rPr>
                <w:rFonts w:cs="Arial"/>
              </w:rPr>
              <w:tab/>
              <w:t>Describe physical disability and the support needs of a person with a physical disability</w:t>
            </w:r>
          </w:p>
        </w:tc>
        <w:tc>
          <w:tcPr>
            <w:tcW w:w="992" w:type="dxa"/>
          </w:tcPr>
          <w:p w:rsidR="00E27E97" w:rsidRPr="003E7106" w:rsidRDefault="00E27E97" w:rsidP="007C56CE">
            <w:pPr>
              <w:pStyle w:val="TableText"/>
              <w:spacing w:before="0" w:line="240" w:lineRule="auto"/>
              <w:ind w:left="709" w:hanging="709"/>
              <w:jc w:val="center"/>
            </w:pPr>
            <w:r w:rsidRPr="003E7106">
              <w:t>3</w:t>
            </w:r>
          </w:p>
        </w:tc>
        <w:tc>
          <w:tcPr>
            <w:tcW w:w="993" w:type="dxa"/>
          </w:tcPr>
          <w:p w:rsidR="00E27E97" w:rsidRPr="003E7106" w:rsidRDefault="00E27E97" w:rsidP="007C56CE">
            <w:pPr>
              <w:pStyle w:val="TableText"/>
              <w:spacing w:before="0" w:line="240" w:lineRule="auto"/>
              <w:ind w:left="709" w:hanging="709"/>
              <w:jc w:val="center"/>
            </w:pPr>
            <w:r w:rsidRPr="003E7106">
              <w:t>4</w:t>
            </w:r>
          </w:p>
        </w:tc>
      </w:tr>
      <w:tr w:rsidR="00E27E97" w:rsidRPr="003E7106" w:rsidTr="00254978">
        <w:trPr>
          <w:cantSplit/>
        </w:trPr>
        <w:tc>
          <w:tcPr>
            <w:tcW w:w="3261" w:type="dxa"/>
            <w:vMerge/>
            <w:shd w:val="clear" w:color="auto" w:fill="B8CCE4"/>
          </w:tcPr>
          <w:p w:rsidR="00E27E97" w:rsidRPr="003E7106" w:rsidRDefault="00E27E97" w:rsidP="007C56CE">
            <w:pPr>
              <w:pStyle w:val="TableText"/>
              <w:spacing w:line="240" w:lineRule="auto"/>
              <w:rPr>
                <w:rFonts w:cs="Arial"/>
                <w:color w:val="000000"/>
              </w:rPr>
            </w:pPr>
          </w:p>
        </w:tc>
        <w:tc>
          <w:tcPr>
            <w:tcW w:w="9355" w:type="dxa"/>
          </w:tcPr>
          <w:p w:rsidR="00E27E97" w:rsidRPr="003E7106" w:rsidRDefault="00E27E97" w:rsidP="007C56CE">
            <w:pPr>
              <w:pStyle w:val="TableText"/>
              <w:spacing w:before="0" w:line="240" w:lineRule="auto"/>
              <w:ind w:left="709" w:hanging="709"/>
              <w:rPr>
                <w:rFonts w:cs="Arial"/>
              </w:rPr>
            </w:pPr>
            <w:r w:rsidRPr="003E7106">
              <w:rPr>
                <w:rFonts w:cs="Arial"/>
              </w:rPr>
              <w:t>20827</w:t>
            </w:r>
            <w:r w:rsidRPr="003E7106">
              <w:rPr>
                <w:rFonts w:cs="Arial"/>
              </w:rPr>
              <w:tab/>
              <w:t>Support a person to use prescribed medication in a health or wellbeing setting</w:t>
            </w:r>
          </w:p>
        </w:tc>
        <w:tc>
          <w:tcPr>
            <w:tcW w:w="992" w:type="dxa"/>
          </w:tcPr>
          <w:p w:rsidR="00E27E97" w:rsidRPr="003E7106" w:rsidRDefault="00E27E97" w:rsidP="007C56CE">
            <w:pPr>
              <w:pStyle w:val="TableText"/>
              <w:spacing w:before="0" w:line="240" w:lineRule="auto"/>
              <w:ind w:left="709" w:hanging="709"/>
              <w:jc w:val="center"/>
            </w:pPr>
            <w:r w:rsidRPr="003E7106">
              <w:t>3</w:t>
            </w:r>
          </w:p>
        </w:tc>
        <w:tc>
          <w:tcPr>
            <w:tcW w:w="993" w:type="dxa"/>
          </w:tcPr>
          <w:p w:rsidR="00E27E97" w:rsidRPr="003E7106" w:rsidRDefault="00E27E97" w:rsidP="007C56CE">
            <w:pPr>
              <w:pStyle w:val="TableText"/>
              <w:spacing w:before="0" w:line="240" w:lineRule="auto"/>
              <w:ind w:left="709" w:hanging="709"/>
              <w:jc w:val="center"/>
            </w:pPr>
            <w:r w:rsidRPr="003E7106">
              <w:t>3</w:t>
            </w:r>
          </w:p>
        </w:tc>
      </w:tr>
      <w:tr w:rsidR="00E27E97" w:rsidRPr="003E7106" w:rsidTr="00254978">
        <w:trPr>
          <w:cantSplit/>
        </w:trPr>
        <w:tc>
          <w:tcPr>
            <w:tcW w:w="3261" w:type="dxa"/>
            <w:vMerge/>
            <w:shd w:val="clear" w:color="auto" w:fill="B8CCE4"/>
          </w:tcPr>
          <w:p w:rsidR="00E27E97" w:rsidRPr="003E7106" w:rsidRDefault="00E27E97" w:rsidP="007C56CE">
            <w:pPr>
              <w:pStyle w:val="TableText"/>
              <w:spacing w:line="240" w:lineRule="auto"/>
              <w:rPr>
                <w:rFonts w:cs="Arial"/>
                <w:color w:val="000000"/>
              </w:rPr>
            </w:pPr>
          </w:p>
        </w:tc>
        <w:tc>
          <w:tcPr>
            <w:tcW w:w="9355" w:type="dxa"/>
          </w:tcPr>
          <w:p w:rsidR="00E27E97" w:rsidRPr="003E7106" w:rsidRDefault="00E27E97" w:rsidP="007C56CE">
            <w:pPr>
              <w:pStyle w:val="TableText"/>
              <w:spacing w:before="0" w:line="240" w:lineRule="auto"/>
              <w:ind w:left="709" w:hanging="709"/>
              <w:rPr>
                <w:rFonts w:cs="Arial"/>
              </w:rPr>
            </w:pPr>
            <w:r w:rsidRPr="003E7106">
              <w:rPr>
                <w:rFonts w:cs="Arial"/>
              </w:rPr>
              <w:t>20965</w:t>
            </w:r>
            <w:r w:rsidRPr="003E7106">
              <w:rPr>
                <w:rFonts w:cs="Arial"/>
              </w:rPr>
              <w:tab/>
              <w:t>Describe epilepsy and the support needs of a person with epilepsy in a health or wellbeing setting</w:t>
            </w:r>
          </w:p>
        </w:tc>
        <w:tc>
          <w:tcPr>
            <w:tcW w:w="992" w:type="dxa"/>
          </w:tcPr>
          <w:p w:rsidR="00E27E97" w:rsidRPr="003E7106" w:rsidRDefault="00E27E97" w:rsidP="007C56CE">
            <w:pPr>
              <w:pStyle w:val="TableText"/>
              <w:spacing w:before="0" w:line="240" w:lineRule="auto"/>
              <w:ind w:left="709" w:hanging="709"/>
              <w:jc w:val="center"/>
            </w:pPr>
            <w:r w:rsidRPr="003E7106">
              <w:t>3</w:t>
            </w:r>
          </w:p>
        </w:tc>
        <w:tc>
          <w:tcPr>
            <w:tcW w:w="993" w:type="dxa"/>
          </w:tcPr>
          <w:p w:rsidR="00E27E97" w:rsidRPr="003E7106" w:rsidRDefault="00E27E97" w:rsidP="007C56CE">
            <w:pPr>
              <w:pStyle w:val="TableText"/>
              <w:spacing w:before="0" w:line="240" w:lineRule="auto"/>
              <w:ind w:left="709" w:hanging="709"/>
              <w:jc w:val="center"/>
            </w:pPr>
            <w:r w:rsidRPr="003E7106">
              <w:t>4</w:t>
            </w:r>
          </w:p>
        </w:tc>
      </w:tr>
      <w:tr w:rsidR="00E27E97" w:rsidRPr="003E7106" w:rsidTr="00254978">
        <w:trPr>
          <w:cantSplit/>
        </w:trPr>
        <w:tc>
          <w:tcPr>
            <w:tcW w:w="3261" w:type="dxa"/>
            <w:vMerge/>
            <w:shd w:val="clear" w:color="auto" w:fill="B8CCE4"/>
          </w:tcPr>
          <w:p w:rsidR="00E27E97" w:rsidRPr="003E7106" w:rsidRDefault="00E27E97" w:rsidP="007C56CE">
            <w:pPr>
              <w:pStyle w:val="TableText"/>
              <w:spacing w:line="240" w:lineRule="auto"/>
              <w:rPr>
                <w:rFonts w:cs="Arial"/>
                <w:color w:val="000000"/>
              </w:rPr>
            </w:pPr>
          </w:p>
        </w:tc>
        <w:tc>
          <w:tcPr>
            <w:tcW w:w="9355" w:type="dxa"/>
          </w:tcPr>
          <w:p w:rsidR="00E27E97" w:rsidRPr="003E7106" w:rsidRDefault="00E27E97" w:rsidP="007C56CE">
            <w:pPr>
              <w:pStyle w:val="TableText"/>
              <w:spacing w:before="0" w:line="240" w:lineRule="auto"/>
              <w:ind w:left="709" w:hanging="709"/>
              <w:rPr>
                <w:rFonts w:cs="Arial"/>
              </w:rPr>
            </w:pPr>
            <w:r w:rsidRPr="003E7106">
              <w:rPr>
                <w:rFonts w:cs="Arial"/>
              </w:rPr>
              <w:t>23371</w:t>
            </w:r>
            <w:r w:rsidRPr="003E7106">
              <w:rPr>
                <w:rFonts w:cs="Arial"/>
              </w:rPr>
              <w:tab/>
              <w:t>Support personal planning to enhance individual lifestyles with a person with disability</w:t>
            </w:r>
          </w:p>
        </w:tc>
        <w:tc>
          <w:tcPr>
            <w:tcW w:w="992" w:type="dxa"/>
          </w:tcPr>
          <w:p w:rsidR="00E27E97" w:rsidRPr="003E7106" w:rsidRDefault="00E27E97" w:rsidP="007C56CE">
            <w:pPr>
              <w:pStyle w:val="TableText"/>
              <w:spacing w:before="0" w:line="240" w:lineRule="auto"/>
              <w:ind w:left="709" w:hanging="709"/>
              <w:jc w:val="center"/>
            </w:pPr>
            <w:r w:rsidRPr="003E7106">
              <w:t>3</w:t>
            </w:r>
          </w:p>
        </w:tc>
        <w:tc>
          <w:tcPr>
            <w:tcW w:w="993" w:type="dxa"/>
          </w:tcPr>
          <w:p w:rsidR="00E27E97" w:rsidRPr="003E7106" w:rsidRDefault="00E27E97" w:rsidP="007C56CE">
            <w:pPr>
              <w:pStyle w:val="TableText"/>
              <w:spacing w:before="0" w:line="240" w:lineRule="auto"/>
              <w:ind w:left="709" w:hanging="709"/>
              <w:jc w:val="center"/>
            </w:pPr>
            <w:r w:rsidRPr="003E7106">
              <w:t>5</w:t>
            </w:r>
          </w:p>
        </w:tc>
      </w:tr>
      <w:tr w:rsidR="00E27E97" w:rsidRPr="003E7106" w:rsidTr="00254978">
        <w:trPr>
          <w:cantSplit/>
        </w:trPr>
        <w:tc>
          <w:tcPr>
            <w:tcW w:w="3261" w:type="dxa"/>
            <w:vMerge/>
            <w:shd w:val="clear" w:color="auto" w:fill="B8CCE4"/>
          </w:tcPr>
          <w:p w:rsidR="00E27E97" w:rsidRPr="003E7106" w:rsidRDefault="00E27E97" w:rsidP="007C56CE">
            <w:pPr>
              <w:pStyle w:val="TableText"/>
              <w:spacing w:line="240" w:lineRule="auto"/>
              <w:rPr>
                <w:rFonts w:cs="Arial"/>
                <w:color w:val="000000"/>
              </w:rPr>
            </w:pPr>
          </w:p>
        </w:tc>
        <w:tc>
          <w:tcPr>
            <w:tcW w:w="9355" w:type="dxa"/>
          </w:tcPr>
          <w:p w:rsidR="00E27E97" w:rsidRPr="003E7106" w:rsidRDefault="00E27E97" w:rsidP="007C56CE">
            <w:pPr>
              <w:pStyle w:val="TableText"/>
              <w:spacing w:before="0" w:line="240" w:lineRule="auto"/>
              <w:ind w:left="709" w:hanging="709"/>
              <w:rPr>
                <w:rFonts w:cs="Arial"/>
              </w:rPr>
            </w:pPr>
            <w:r w:rsidRPr="003E7106">
              <w:rPr>
                <w:rFonts w:cs="Arial"/>
              </w:rPr>
              <w:t>23372</w:t>
            </w:r>
            <w:r w:rsidRPr="003E7106">
              <w:rPr>
                <w:rFonts w:cs="Arial"/>
              </w:rPr>
              <w:tab/>
              <w:t>Describe law in relation to intellectual disability and high and complex needs and legal services available to people</w:t>
            </w:r>
          </w:p>
        </w:tc>
        <w:tc>
          <w:tcPr>
            <w:tcW w:w="992" w:type="dxa"/>
          </w:tcPr>
          <w:p w:rsidR="00E27E97" w:rsidRPr="003E7106" w:rsidRDefault="00E27E97" w:rsidP="007C56CE">
            <w:pPr>
              <w:pStyle w:val="TableText"/>
              <w:spacing w:before="0" w:line="240" w:lineRule="auto"/>
              <w:ind w:left="709" w:hanging="709"/>
              <w:jc w:val="center"/>
            </w:pPr>
            <w:r w:rsidRPr="003E7106">
              <w:t>3</w:t>
            </w:r>
          </w:p>
        </w:tc>
        <w:tc>
          <w:tcPr>
            <w:tcW w:w="993" w:type="dxa"/>
          </w:tcPr>
          <w:p w:rsidR="00E27E97" w:rsidRPr="003E7106" w:rsidRDefault="00E27E97" w:rsidP="007C56CE">
            <w:pPr>
              <w:pStyle w:val="TableText"/>
              <w:spacing w:before="0" w:line="240" w:lineRule="auto"/>
              <w:ind w:left="709" w:hanging="709"/>
              <w:jc w:val="center"/>
            </w:pPr>
            <w:r w:rsidRPr="003E7106">
              <w:t>3</w:t>
            </w:r>
          </w:p>
        </w:tc>
      </w:tr>
      <w:tr w:rsidR="00E27E97" w:rsidRPr="003E7106" w:rsidTr="00254978">
        <w:trPr>
          <w:cantSplit/>
        </w:trPr>
        <w:tc>
          <w:tcPr>
            <w:tcW w:w="3261" w:type="dxa"/>
            <w:vMerge/>
            <w:shd w:val="clear" w:color="auto" w:fill="B8CCE4"/>
          </w:tcPr>
          <w:p w:rsidR="00E27E97" w:rsidRPr="003E7106" w:rsidRDefault="00E27E97" w:rsidP="007C56CE">
            <w:pPr>
              <w:pStyle w:val="TableText"/>
              <w:spacing w:line="240" w:lineRule="auto"/>
              <w:rPr>
                <w:rFonts w:cs="Arial"/>
                <w:color w:val="000000"/>
              </w:rPr>
            </w:pPr>
          </w:p>
        </w:tc>
        <w:tc>
          <w:tcPr>
            <w:tcW w:w="9355" w:type="dxa"/>
          </w:tcPr>
          <w:p w:rsidR="00E27E97" w:rsidRPr="003E7106" w:rsidRDefault="00E27E97" w:rsidP="007C56CE">
            <w:pPr>
              <w:pStyle w:val="TableText"/>
              <w:spacing w:before="0" w:line="240" w:lineRule="auto"/>
              <w:ind w:left="709" w:hanging="709"/>
              <w:rPr>
                <w:rFonts w:cs="Arial"/>
              </w:rPr>
            </w:pPr>
            <w:r w:rsidRPr="003E7106">
              <w:rPr>
                <w:rFonts w:cs="Arial"/>
              </w:rPr>
              <w:t>23374</w:t>
            </w:r>
            <w:r w:rsidRPr="003E7106">
              <w:rPr>
                <w:rFonts w:cs="Arial"/>
              </w:rPr>
              <w:tab/>
              <w:t>Describe autism spectrum disorders (ASD) and support strategies</w:t>
            </w:r>
          </w:p>
        </w:tc>
        <w:tc>
          <w:tcPr>
            <w:tcW w:w="992" w:type="dxa"/>
          </w:tcPr>
          <w:p w:rsidR="00E27E97" w:rsidRPr="003E7106" w:rsidRDefault="00E27E97" w:rsidP="007C56CE">
            <w:pPr>
              <w:pStyle w:val="TableText"/>
              <w:spacing w:before="0" w:line="240" w:lineRule="auto"/>
              <w:ind w:left="709" w:hanging="709"/>
              <w:jc w:val="center"/>
            </w:pPr>
            <w:r w:rsidRPr="003E7106">
              <w:t>3</w:t>
            </w:r>
          </w:p>
        </w:tc>
        <w:tc>
          <w:tcPr>
            <w:tcW w:w="993" w:type="dxa"/>
          </w:tcPr>
          <w:p w:rsidR="00E27E97" w:rsidRPr="003E7106" w:rsidRDefault="00E27E97" w:rsidP="007C56CE">
            <w:pPr>
              <w:pStyle w:val="TableText"/>
              <w:spacing w:before="0" w:line="240" w:lineRule="auto"/>
              <w:ind w:left="709" w:hanging="709"/>
              <w:jc w:val="center"/>
            </w:pPr>
            <w:r w:rsidRPr="003E7106">
              <w:t>3</w:t>
            </w:r>
          </w:p>
        </w:tc>
      </w:tr>
      <w:tr w:rsidR="00E27E97" w:rsidRPr="003E7106" w:rsidTr="00254978">
        <w:trPr>
          <w:cantSplit/>
        </w:trPr>
        <w:tc>
          <w:tcPr>
            <w:tcW w:w="3261" w:type="dxa"/>
            <w:vMerge/>
            <w:shd w:val="clear" w:color="auto" w:fill="B8CCE4"/>
          </w:tcPr>
          <w:p w:rsidR="00E27E97" w:rsidRPr="003E7106" w:rsidRDefault="00E27E97" w:rsidP="007C56CE">
            <w:pPr>
              <w:pStyle w:val="TableText"/>
              <w:spacing w:line="240" w:lineRule="auto"/>
              <w:rPr>
                <w:rFonts w:cs="Arial"/>
                <w:color w:val="000000"/>
              </w:rPr>
            </w:pPr>
          </w:p>
        </w:tc>
        <w:tc>
          <w:tcPr>
            <w:tcW w:w="9355" w:type="dxa"/>
          </w:tcPr>
          <w:p w:rsidR="00E27E97" w:rsidRPr="003E7106" w:rsidRDefault="00E27E97" w:rsidP="007C56CE">
            <w:pPr>
              <w:pStyle w:val="TableText"/>
              <w:spacing w:before="0" w:line="240" w:lineRule="auto"/>
              <w:ind w:left="709" w:hanging="709"/>
              <w:rPr>
                <w:rFonts w:cs="Arial"/>
              </w:rPr>
            </w:pPr>
            <w:r w:rsidRPr="003E7106">
              <w:rPr>
                <w:rFonts w:cs="Arial"/>
              </w:rPr>
              <w:t>23375</w:t>
            </w:r>
            <w:r w:rsidRPr="003E7106">
              <w:rPr>
                <w:rFonts w:cs="Arial"/>
              </w:rPr>
              <w:tab/>
              <w:t>Describe hearing impairment</w:t>
            </w:r>
          </w:p>
        </w:tc>
        <w:tc>
          <w:tcPr>
            <w:tcW w:w="992" w:type="dxa"/>
          </w:tcPr>
          <w:p w:rsidR="00E27E97" w:rsidRPr="003E7106" w:rsidRDefault="00E27E97" w:rsidP="007C56CE">
            <w:pPr>
              <w:pStyle w:val="TableText"/>
              <w:spacing w:before="0" w:line="240" w:lineRule="auto"/>
              <w:ind w:left="709" w:hanging="709"/>
              <w:jc w:val="center"/>
            </w:pPr>
            <w:r w:rsidRPr="003E7106">
              <w:t>3</w:t>
            </w:r>
          </w:p>
        </w:tc>
        <w:tc>
          <w:tcPr>
            <w:tcW w:w="993" w:type="dxa"/>
          </w:tcPr>
          <w:p w:rsidR="00E27E97" w:rsidRPr="003E7106" w:rsidRDefault="00E27E97" w:rsidP="007C56CE">
            <w:pPr>
              <w:pStyle w:val="TableText"/>
              <w:spacing w:before="0" w:line="240" w:lineRule="auto"/>
              <w:ind w:left="709" w:hanging="709"/>
              <w:jc w:val="center"/>
            </w:pPr>
            <w:r w:rsidRPr="003E7106">
              <w:t>5</w:t>
            </w:r>
          </w:p>
        </w:tc>
      </w:tr>
      <w:tr w:rsidR="00E27E97" w:rsidRPr="003E7106" w:rsidTr="00254978">
        <w:trPr>
          <w:cantSplit/>
        </w:trPr>
        <w:tc>
          <w:tcPr>
            <w:tcW w:w="3261" w:type="dxa"/>
            <w:vMerge/>
            <w:shd w:val="clear" w:color="auto" w:fill="B8CCE4"/>
          </w:tcPr>
          <w:p w:rsidR="00E27E97" w:rsidRPr="003E7106" w:rsidRDefault="00E27E97" w:rsidP="007C56CE">
            <w:pPr>
              <w:pStyle w:val="TableText"/>
              <w:spacing w:line="240" w:lineRule="auto"/>
              <w:rPr>
                <w:rFonts w:cs="Arial"/>
                <w:color w:val="000000"/>
              </w:rPr>
            </w:pPr>
          </w:p>
        </w:tc>
        <w:tc>
          <w:tcPr>
            <w:tcW w:w="9355" w:type="dxa"/>
          </w:tcPr>
          <w:p w:rsidR="00E27E97" w:rsidRPr="003E7106" w:rsidRDefault="00E27E97" w:rsidP="007C56CE">
            <w:pPr>
              <w:pStyle w:val="TableText"/>
              <w:spacing w:before="0" w:line="240" w:lineRule="auto"/>
              <w:ind w:left="709" w:hanging="709"/>
              <w:rPr>
                <w:rFonts w:cs="Arial"/>
              </w:rPr>
            </w:pPr>
            <w:r w:rsidRPr="003E7106">
              <w:rPr>
                <w:rFonts w:cs="Arial"/>
              </w:rPr>
              <w:t>23377</w:t>
            </w:r>
            <w:r w:rsidRPr="003E7106">
              <w:rPr>
                <w:rFonts w:cs="Arial"/>
              </w:rPr>
              <w:tab/>
              <w:t>Use visual strategies for communicating with Deaf and hearing impaired people</w:t>
            </w:r>
          </w:p>
        </w:tc>
        <w:tc>
          <w:tcPr>
            <w:tcW w:w="992" w:type="dxa"/>
          </w:tcPr>
          <w:p w:rsidR="00E27E97" w:rsidRPr="003E7106" w:rsidRDefault="00E27E97" w:rsidP="007C56CE">
            <w:pPr>
              <w:pStyle w:val="TableText"/>
              <w:spacing w:before="0" w:line="240" w:lineRule="auto"/>
              <w:ind w:left="709" w:hanging="709"/>
              <w:jc w:val="center"/>
            </w:pPr>
            <w:r w:rsidRPr="003E7106">
              <w:t>3</w:t>
            </w:r>
          </w:p>
        </w:tc>
        <w:tc>
          <w:tcPr>
            <w:tcW w:w="993" w:type="dxa"/>
          </w:tcPr>
          <w:p w:rsidR="00E27E97" w:rsidRPr="003E7106" w:rsidRDefault="00E27E97" w:rsidP="007C56CE">
            <w:pPr>
              <w:pStyle w:val="TableText"/>
              <w:spacing w:before="0" w:line="240" w:lineRule="auto"/>
              <w:ind w:left="709" w:hanging="709"/>
              <w:jc w:val="center"/>
            </w:pPr>
            <w:r w:rsidRPr="003E7106">
              <w:t>3</w:t>
            </w:r>
          </w:p>
        </w:tc>
      </w:tr>
      <w:tr w:rsidR="00E27E97" w:rsidRPr="003E7106" w:rsidTr="00254978">
        <w:trPr>
          <w:cantSplit/>
        </w:trPr>
        <w:tc>
          <w:tcPr>
            <w:tcW w:w="3261" w:type="dxa"/>
            <w:vMerge/>
            <w:shd w:val="clear" w:color="auto" w:fill="B8CCE4"/>
          </w:tcPr>
          <w:p w:rsidR="00E27E97" w:rsidRPr="003E7106" w:rsidRDefault="00E27E97" w:rsidP="007C56CE">
            <w:pPr>
              <w:pStyle w:val="TableText"/>
              <w:spacing w:line="240" w:lineRule="auto"/>
              <w:rPr>
                <w:rFonts w:cs="Arial"/>
                <w:color w:val="000000"/>
              </w:rPr>
            </w:pPr>
          </w:p>
        </w:tc>
        <w:tc>
          <w:tcPr>
            <w:tcW w:w="9355" w:type="dxa"/>
          </w:tcPr>
          <w:p w:rsidR="00E27E97" w:rsidRPr="003E7106" w:rsidRDefault="00E27E97" w:rsidP="007C56CE">
            <w:pPr>
              <w:pStyle w:val="TableText"/>
              <w:spacing w:before="0" w:line="240" w:lineRule="auto"/>
              <w:ind w:left="709" w:hanging="709"/>
              <w:rPr>
                <w:rFonts w:cs="Arial"/>
              </w:rPr>
            </w:pPr>
            <w:r w:rsidRPr="003E7106">
              <w:rPr>
                <w:rFonts w:cs="Arial"/>
              </w:rPr>
              <w:t>23382</w:t>
            </w:r>
            <w:r w:rsidRPr="003E7106">
              <w:rPr>
                <w:rFonts w:cs="Arial"/>
              </w:rPr>
              <w:tab/>
              <w:t>Support a person to participate as a member of the community in a health or wellbeing setting</w:t>
            </w:r>
          </w:p>
        </w:tc>
        <w:tc>
          <w:tcPr>
            <w:tcW w:w="992" w:type="dxa"/>
          </w:tcPr>
          <w:p w:rsidR="00E27E97" w:rsidRPr="003E7106" w:rsidRDefault="00E27E97" w:rsidP="007C56CE">
            <w:pPr>
              <w:pStyle w:val="TableText"/>
              <w:spacing w:before="0" w:line="240" w:lineRule="auto"/>
              <w:ind w:left="709" w:hanging="709"/>
              <w:jc w:val="center"/>
            </w:pPr>
            <w:r w:rsidRPr="003E7106">
              <w:t>3</w:t>
            </w:r>
          </w:p>
        </w:tc>
        <w:tc>
          <w:tcPr>
            <w:tcW w:w="993" w:type="dxa"/>
          </w:tcPr>
          <w:p w:rsidR="00E27E97" w:rsidRPr="003E7106" w:rsidRDefault="00E27E97" w:rsidP="007C56CE">
            <w:pPr>
              <w:pStyle w:val="TableText"/>
              <w:spacing w:before="0" w:line="240" w:lineRule="auto"/>
              <w:ind w:left="709" w:hanging="709"/>
              <w:jc w:val="center"/>
            </w:pPr>
            <w:r w:rsidRPr="003E7106">
              <w:t>3</w:t>
            </w:r>
          </w:p>
        </w:tc>
      </w:tr>
      <w:tr w:rsidR="00E27E97" w:rsidRPr="003E7106" w:rsidTr="00254978">
        <w:trPr>
          <w:cantSplit/>
        </w:trPr>
        <w:tc>
          <w:tcPr>
            <w:tcW w:w="3261" w:type="dxa"/>
            <w:vMerge/>
            <w:shd w:val="clear" w:color="auto" w:fill="B8CCE4"/>
          </w:tcPr>
          <w:p w:rsidR="00E27E97" w:rsidRPr="003E7106" w:rsidRDefault="00E27E97" w:rsidP="007C56CE">
            <w:pPr>
              <w:pStyle w:val="TableText"/>
              <w:spacing w:line="240" w:lineRule="auto"/>
              <w:rPr>
                <w:rFonts w:cs="Arial"/>
                <w:color w:val="000000"/>
              </w:rPr>
            </w:pPr>
          </w:p>
        </w:tc>
        <w:tc>
          <w:tcPr>
            <w:tcW w:w="9355" w:type="dxa"/>
          </w:tcPr>
          <w:p w:rsidR="00E27E97" w:rsidRPr="003E7106" w:rsidRDefault="00E27E97" w:rsidP="007C56CE">
            <w:pPr>
              <w:pStyle w:val="TableText"/>
              <w:spacing w:before="0" w:line="240" w:lineRule="auto"/>
              <w:ind w:left="709" w:hanging="709"/>
              <w:rPr>
                <w:rFonts w:cs="Arial"/>
              </w:rPr>
            </w:pPr>
            <w:r w:rsidRPr="003E7106">
              <w:rPr>
                <w:rFonts w:cs="Arial"/>
              </w:rPr>
              <w:t>23385</w:t>
            </w:r>
            <w:r w:rsidRPr="003E7106">
              <w:rPr>
                <w:rFonts w:cs="Arial"/>
              </w:rPr>
              <w:tab/>
              <w:t>Demonstrate knowledge of advocacy and self-advocacy in a health or wellbeing setting</w:t>
            </w:r>
          </w:p>
        </w:tc>
        <w:tc>
          <w:tcPr>
            <w:tcW w:w="992" w:type="dxa"/>
          </w:tcPr>
          <w:p w:rsidR="00E27E97" w:rsidRPr="003E7106" w:rsidRDefault="00E27E97" w:rsidP="007C56CE">
            <w:pPr>
              <w:pStyle w:val="TableText"/>
              <w:spacing w:before="0" w:line="240" w:lineRule="auto"/>
              <w:ind w:left="709" w:hanging="709"/>
              <w:jc w:val="center"/>
            </w:pPr>
            <w:r w:rsidRPr="003E7106">
              <w:t>3</w:t>
            </w:r>
          </w:p>
        </w:tc>
        <w:tc>
          <w:tcPr>
            <w:tcW w:w="993" w:type="dxa"/>
          </w:tcPr>
          <w:p w:rsidR="00E27E97" w:rsidRPr="003E7106" w:rsidRDefault="00E27E97" w:rsidP="007C56CE">
            <w:pPr>
              <w:pStyle w:val="TableText"/>
              <w:spacing w:before="0" w:line="240" w:lineRule="auto"/>
              <w:ind w:left="709" w:hanging="709"/>
              <w:jc w:val="center"/>
            </w:pPr>
            <w:r w:rsidRPr="003E7106">
              <w:t>4</w:t>
            </w:r>
          </w:p>
        </w:tc>
      </w:tr>
      <w:tr w:rsidR="00E27E97" w:rsidRPr="003E7106" w:rsidTr="00254978">
        <w:trPr>
          <w:cantSplit/>
        </w:trPr>
        <w:tc>
          <w:tcPr>
            <w:tcW w:w="3261" w:type="dxa"/>
            <w:vMerge/>
            <w:shd w:val="clear" w:color="auto" w:fill="B8CCE4"/>
          </w:tcPr>
          <w:p w:rsidR="00E27E97" w:rsidRPr="003E7106" w:rsidRDefault="00E27E97" w:rsidP="007C56CE">
            <w:pPr>
              <w:pStyle w:val="TableText"/>
              <w:spacing w:line="240" w:lineRule="auto"/>
              <w:rPr>
                <w:rFonts w:cs="Arial"/>
                <w:color w:val="000000"/>
              </w:rPr>
            </w:pPr>
          </w:p>
        </w:tc>
        <w:tc>
          <w:tcPr>
            <w:tcW w:w="9355" w:type="dxa"/>
          </w:tcPr>
          <w:p w:rsidR="00E27E97" w:rsidRPr="003E7106" w:rsidRDefault="00E27E97" w:rsidP="007C56CE">
            <w:pPr>
              <w:pStyle w:val="TableText"/>
              <w:spacing w:before="0" w:line="240" w:lineRule="auto"/>
              <w:ind w:left="709" w:hanging="709"/>
              <w:rPr>
                <w:rFonts w:cs="Arial"/>
              </w:rPr>
            </w:pPr>
            <w:r w:rsidRPr="003E7106">
              <w:rPr>
                <w:rFonts w:cs="Arial"/>
              </w:rPr>
              <w:t>23386</w:t>
            </w:r>
            <w:r w:rsidRPr="003E7106">
              <w:rPr>
                <w:rFonts w:cs="Arial"/>
              </w:rPr>
              <w:tab/>
              <w:t>Support a person to meet personal care needs in a health or wellbeing setting</w:t>
            </w:r>
          </w:p>
        </w:tc>
        <w:tc>
          <w:tcPr>
            <w:tcW w:w="992" w:type="dxa"/>
          </w:tcPr>
          <w:p w:rsidR="00E27E97" w:rsidRPr="003E7106" w:rsidRDefault="00E27E97" w:rsidP="007C56CE">
            <w:pPr>
              <w:pStyle w:val="TableText"/>
              <w:spacing w:before="0" w:line="240" w:lineRule="auto"/>
              <w:ind w:left="709" w:hanging="709"/>
              <w:jc w:val="center"/>
            </w:pPr>
            <w:r w:rsidRPr="003E7106">
              <w:t>3</w:t>
            </w:r>
          </w:p>
        </w:tc>
        <w:tc>
          <w:tcPr>
            <w:tcW w:w="993" w:type="dxa"/>
          </w:tcPr>
          <w:p w:rsidR="00E27E97" w:rsidRPr="003E7106" w:rsidRDefault="00E27E97" w:rsidP="007C56CE">
            <w:pPr>
              <w:pStyle w:val="TableText"/>
              <w:spacing w:before="0" w:line="240" w:lineRule="auto"/>
              <w:ind w:left="709" w:hanging="709"/>
              <w:jc w:val="center"/>
            </w:pPr>
            <w:r w:rsidRPr="003E7106">
              <w:t>5</w:t>
            </w:r>
          </w:p>
        </w:tc>
      </w:tr>
      <w:tr w:rsidR="00E27E97" w:rsidRPr="003E7106" w:rsidTr="00254978">
        <w:trPr>
          <w:cantSplit/>
        </w:trPr>
        <w:tc>
          <w:tcPr>
            <w:tcW w:w="3261" w:type="dxa"/>
            <w:vMerge/>
            <w:shd w:val="clear" w:color="auto" w:fill="B8CCE4"/>
          </w:tcPr>
          <w:p w:rsidR="00E27E97" w:rsidRPr="003E7106" w:rsidRDefault="00E27E97" w:rsidP="007C56CE">
            <w:pPr>
              <w:pStyle w:val="TableText"/>
              <w:spacing w:line="240" w:lineRule="auto"/>
              <w:rPr>
                <w:rFonts w:cs="Arial"/>
                <w:color w:val="000000"/>
              </w:rPr>
            </w:pPr>
          </w:p>
        </w:tc>
        <w:tc>
          <w:tcPr>
            <w:tcW w:w="9355" w:type="dxa"/>
          </w:tcPr>
          <w:p w:rsidR="00E27E97" w:rsidRPr="003E7106" w:rsidRDefault="00E27E97" w:rsidP="007C56CE">
            <w:pPr>
              <w:pStyle w:val="TableText"/>
              <w:spacing w:before="0" w:line="240" w:lineRule="auto"/>
              <w:ind w:left="709" w:hanging="709"/>
              <w:rPr>
                <w:rFonts w:cs="Arial"/>
              </w:rPr>
            </w:pPr>
            <w:r w:rsidRPr="003E7106">
              <w:rPr>
                <w:rFonts w:cs="Arial"/>
              </w:rPr>
              <w:t>23387</w:t>
            </w:r>
            <w:r w:rsidRPr="003E7106">
              <w:rPr>
                <w:rFonts w:cs="Arial"/>
              </w:rPr>
              <w:tab/>
              <w:t>Demonstrate the ageing process and its effects on a person’s lifestyle and wellbeing</w:t>
            </w:r>
          </w:p>
        </w:tc>
        <w:tc>
          <w:tcPr>
            <w:tcW w:w="992" w:type="dxa"/>
          </w:tcPr>
          <w:p w:rsidR="00E27E97" w:rsidRPr="003E7106" w:rsidRDefault="00E27E97" w:rsidP="007C56CE">
            <w:pPr>
              <w:pStyle w:val="TableText"/>
              <w:spacing w:before="0" w:line="240" w:lineRule="auto"/>
              <w:ind w:left="709" w:hanging="709"/>
              <w:jc w:val="center"/>
            </w:pPr>
            <w:r w:rsidRPr="003E7106">
              <w:t>3</w:t>
            </w:r>
          </w:p>
        </w:tc>
        <w:tc>
          <w:tcPr>
            <w:tcW w:w="993" w:type="dxa"/>
          </w:tcPr>
          <w:p w:rsidR="00E27E97" w:rsidRPr="003E7106" w:rsidRDefault="00E27E97" w:rsidP="007C56CE">
            <w:pPr>
              <w:pStyle w:val="TableText"/>
              <w:spacing w:before="0" w:line="240" w:lineRule="auto"/>
              <w:ind w:left="709" w:hanging="709"/>
              <w:jc w:val="center"/>
            </w:pPr>
            <w:r w:rsidRPr="003E7106">
              <w:t>7</w:t>
            </w:r>
          </w:p>
        </w:tc>
      </w:tr>
      <w:tr w:rsidR="00E27E97" w:rsidRPr="003E7106" w:rsidTr="00254978">
        <w:trPr>
          <w:cantSplit/>
        </w:trPr>
        <w:tc>
          <w:tcPr>
            <w:tcW w:w="3261" w:type="dxa"/>
            <w:vMerge/>
            <w:shd w:val="clear" w:color="auto" w:fill="B8CCE4"/>
          </w:tcPr>
          <w:p w:rsidR="00E27E97" w:rsidRPr="003E7106" w:rsidRDefault="00E27E97" w:rsidP="007C56CE">
            <w:pPr>
              <w:pStyle w:val="TableText"/>
              <w:spacing w:line="240" w:lineRule="auto"/>
              <w:rPr>
                <w:rFonts w:cs="Arial"/>
                <w:color w:val="000000"/>
              </w:rPr>
            </w:pPr>
          </w:p>
        </w:tc>
        <w:tc>
          <w:tcPr>
            <w:tcW w:w="9355" w:type="dxa"/>
          </w:tcPr>
          <w:p w:rsidR="00E27E97" w:rsidRPr="003E7106" w:rsidRDefault="00E27E97" w:rsidP="007C56CE">
            <w:pPr>
              <w:pStyle w:val="TableText"/>
              <w:spacing w:before="0" w:line="240" w:lineRule="auto"/>
              <w:ind w:left="709" w:hanging="709"/>
              <w:rPr>
                <w:rFonts w:cs="Arial"/>
              </w:rPr>
            </w:pPr>
            <w:r w:rsidRPr="003E7106">
              <w:rPr>
                <w:rFonts w:cs="Arial"/>
              </w:rPr>
              <w:t>23388</w:t>
            </w:r>
            <w:r w:rsidRPr="003E7106">
              <w:rPr>
                <w:rFonts w:cs="Arial"/>
              </w:rPr>
              <w:tab/>
              <w:t>Provide support to a person whose behaviour presents challenges in a health or wellbeing setting</w:t>
            </w:r>
          </w:p>
        </w:tc>
        <w:tc>
          <w:tcPr>
            <w:tcW w:w="992" w:type="dxa"/>
          </w:tcPr>
          <w:p w:rsidR="00E27E97" w:rsidRPr="003E7106" w:rsidRDefault="00E27E97" w:rsidP="007C56CE">
            <w:pPr>
              <w:pStyle w:val="TableText"/>
              <w:spacing w:before="0" w:line="240" w:lineRule="auto"/>
              <w:ind w:left="709" w:hanging="709"/>
              <w:jc w:val="center"/>
            </w:pPr>
            <w:r w:rsidRPr="003E7106">
              <w:t>3</w:t>
            </w:r>
          </w:p>
        </w:tc>
        <w:tc>
          <w:tcPr>
            <w:tcW w:w="993" w:type="dxa"/>
          </w:tcPr>
          <w:p w:rsidR="00E27E97" w:rsidRPr="003E7106" w:rsidRDefault="00E27E97" w:rsidP="007C56CE">
            <w:pPr>
              <w:pStyle w:val="TableText"/>
              <w:spacing w:before="0" w:line="240" w:lineRule="auto"/>
              <w:ind w:left="709" w:hanging="709"/>
              <w:jc w:val="center"/>
            </w:pPr>
            <w:r w:rsidRPr="003E7106">
              <w:t>4</w:t>
            </w:r>
          </w:p>
        </w:tc>
      </w:tr>
      <w:tr w:rsidR="00E27E97" w:rsidRPr="003E7106" w:rsidTr="00254978">
        <w:trPr>
          <w:cantSplit/>
        </w:trPr>
        <w:tc>
          <w:tcPr>
            <w:tcW w:w="3261" w:type="dxa"/>
            <w:vMerge/>
            <w:shd w:val="clear" w:color="auto" w:fill="B8CCE4"/>
          </w:tcPr>
          <w:p w:rsidR="00E27E97" w:rsidRPr="003E7106" w:rsidRDefault="00E27E97" w:rsidP="007C56CE">
            <w:pPr>
              <w:pStyle w:val="TableText"/>
              <w:spacing w:line="240" w:lineRule="auto"/>
              <w:rPr>
                <w:rFonts w:cs="Arial"/>
                <w:color w:val="000000"/>
              </w:rPr>
            </w:pPr>
          </w:p>
        </w:tc>
        <w:tc>
          <w:tcPr>
            <w:tcW w:w="9355" w:type="dxa"/>
          </w:tcPr>
          <w:p w:rsidR="00E27E97" w:rsidRPr="003E7106" w:rsidRDefault="00E27E97" w:rsidP="007C56CE">
            <w:pPr>
              <w:pStyle w:val="TableText"/>
              <w:spacing w:before="0" w:line="240" w:lineRule="auto"/>
              <w:ind w:left="709" w:hanging="709"/>
              <w:rPr>
                <w:rFonts w:cs="Arial"/>
              </w:rPr>
            </w:pPr>
            <w:r w:rsidRPr="003E7106">
              <w:rPr>
                <w:rFonts w:cs="Arial"/>
              </w:rPr>
              <w:t>23389</w:t>
            </w:r>
            <w:r w:rsidRPr="003E7106">
              <w:rPr>
                <w:rFonts w:cs="Arial"/>
              </w:rPr>
              <w:tab/>
              <w:t>Describe risk management planning in a health or wellbeing setting</w:t>
            </w:r>
          </w:p>
        </w:tc>
        <w:tc>
          <w:tcPr>
            <w:tcW w:w="992" w:type="dxa"/>
          </w:tcPr>
          <w:p w:rsidR="00E27E97" w:rsidRPr="003E7106" w:rsidRDefault="00E27E97" w:rsidP="007C56CE">
            <w:pPr>
              <w:pStyle w:val="TableText"/>
              <w:spacing w:before="0" w:line="240" w:lineRule="auto"/>
              <w:ind w:left="709" w:hanging="709"/>
              <w:jc w:val="center"/>
            </w:pPr>
            <w:r w:rsidRPr="003E7106">
              <w:t>3</w:t>
            </w:r>
          </w:p>
        </w:tc>
        <w:tc>
          <w:tcPr>
            <w:tcW w:w="993" w:type="dxa"/>
          </w:tcPr>
          <w:p w:rsidR="00E27E97" w:rsidRPr="003E7106" w:rsidRDefault="00E27E97" w:rsidP="007C56CE">
            <w:pPr>
              <w:pStyle w:val="TableText"/>
              <w:spacing w:before="0" w:line="240" w:lineRule="auto"/>
              <w:ind w:left="709" w:hanging="709"/>
              <w:jc w:val="center"/>
            </w:pPr>
            <w:r w:rsidRPr="003E7106">
              <w:t>3</w:t>
            </w:r>
          </w:p>
        </w:tc>
      </w:tr>
      <w:tr w:rsidR="00E27E97" w:rsidRPr="003E7106" w:rsidTr="00254978">
        <w:trPr>
          <w:cantSplit/>
        </w:trPr>
        <w:tc>
          <w:tcPr>
            <w:tcW w:w="3261" w:type="dxa"/>
            <w:vMerge/>
            <w:shd w:val="clear" w:color="auto" w:fill="B8CCE4"/>
          </w:tcPr>
          <w:p w:rsidR="00E27E97" w:rsidRPr="003E7106" w:rsidRDefault="00E27E97" w:rsidP="007C56CE">
            <w:pPr>
              <w:pStyle w:val="TableText"/>
              <w:spacing w:line="240" w:lineRule="auto"/>
              <w:rPr>
                <w:rFonts w:cs="Arial"/>
                <w:color w:val="000000"/>
              </w:rPr>
            </w:pPr>
          </w:p>
        </w:tc>
        <w:tc>
          <w:tcPr>
            <w:tcW w:w="9355" w:type="dxa"/>
          </w:tcPr>
          <w:p w:rsidR="00E27E97" w:rsidRPr="003E7106" w:rsidRDefault="00E27E97" w:rsidP="007C56CE">
            <w:pPr>
              <w:pStyle w:val="TableText"/>
              <w:spacing w:before="0" w:line="240" w:lineRule="auto"/>
              <w:ind w:left="709" w:hanging="709"/>
              <w:rPr>
                <w:rFonts w:cs="Arial"/>
              </w:rPr>
            </w:pPr>
            <w:r w:rsidRPr="003E7106">
              <w:rPr>
                <w:rFonts w:cs="Arial"/>
              </w:rPr>
              <w:t>23391</w:t>
            </w:r>
            <w:r w:rsidRPr="003E7106">
              <w:rPr>
                <w:rFonts w:cs="Arial"/>
              </w:rPr>
              <w:tab/>
              <w:t>Respond to loss and grief in a health or wellbeing setting</w:t>
            </w:r>
          </w:p>
        </w:tc>
        <w:tc>
          <w:tcPr>
            <w:tcW w:w="992" w:type="dxa"/>
          </w:tcPr>
          <w:p w:rsidR="00E27E97" w:rsidRPr="003E7106" w:rsidRDefault="00E27E97" w:rsidP="007C56CE">
            <w:pPr>
              <w:pStyle w:val="TableText"/>
              <w:spacing w:before="0" w:line="240" w:lineRule="auto"/>
              <w:ind w:left="709" w:hanging="709"/>
              <w:jc w:val="center"/>
            </w:pPr>
            <w:r w:rsidRPr="003E7106">
              <w:t>3</w:t>
            </w:r>
          </w:p>
        </w:tc>
        <w:tc>
          <w:tcPr>
            <w:tcW w:w="993" w:type="dxa"/>
          </w:tcPr>
          <w:p w:rsidR="00E27E97" w:rsidRPr="003E7106" w:rsidRDefault="00E27E97" w:rsidP="007C56CE">
            <w:pPr>
              <w:pStyle w:val="TableText"/>
              <w:spacing w:before="0" w:line="240" w:lineRule="auto"/>
              <w:ind w:left="709" w:hanging="709"/>
              <w:jc w:val="center"/>
            </w:pPr>
            <w:r w:rsidRPr="003E7106">
              <w:t>2</w:t>
            </w:r>
          </w:p>
        </w:tc>
      </w:tr>
      <w:tr w:rsidR="00E27E97" w:rsidRPr="003E7106" w:rsidTr="00254978">
        <w:trPr>
          <w:cantSplit/>
        </w:trPr>
        <w:tc>
          <w:tcPr>
            <w:tcW w:w="3261" w:type="dxa"/>
            <w:vMerge/>
            <w:shd w:val="clear" w:color="auto" w:fill="B8CCE4"/>
          </w:tcPr>
          <w:p w:rsidR="00E27E97" w:rsidRPr="003E7106" w:rsidRDefault="00E27E97" w:rsidP="007C56CE">
            <w:pPr>
              <w:pStyle w:val="TableText"/>
              <w:spacing w:line="240" w:lineRule="auto"/>
              <w:rPr>
                <w:rFonts w:cs="Arial"/>
                <w:color w:val="000000"/>
              </w:rPr>
            </w:pPr>
          </w:p>
        </w:tc>
        <w:tc>
          <w:tcPr>
            <w:tcW w:w="9355" w:type="dxa"/>
          </w:tcPr>
          <w:p w:rsidR="00E27E97" w:rsidRPr="003E7106" w:rsidRDefault="00E27E97" w:rsidP="007C56CE">
            <w:pPr>
              <w:pStyle w:val="TableText"/>
              <w:spacing w:before="0" w:line="240" w:lineRule="auto"/>
              <w:ind w:left="709" w:hanging="709"/>
              <w:rPr>
                <w:rFonts w:cs="Arial"/>
              </w:rPr>
            </w:pPr>
            <w:r w:rsidRPr="003E7106">
              <w:rPr>
                <w:rFonts w:cs="Arial"/>
              </w:rPr>
              <w:t>23925</w:t>
            </w:r>
            <w:r w:rsidRPr="003E7106">
              <w:rPr>
                <w:rFonts w:cs="Arial"/>
              </w:rPr>
              <w:tab/>
              <w:t>Support, mentor, and facilitate a person to maximise independence in a health or wellbeing setting</w:t>
            </w:r>
          </w:p>
        </w:tc>
        <w:tc>
          <w:tcPr>
            <w:tcW w:w="992" w:type="dxa"/>
          </w:tcPr>
          <w:p w:rsidR="00E27E97" w:rsidRPr="003E7106" w:rsidRDefault="00E27E97" w:rsidP="007C56CE">
            <w:pPr>
              <w:pStyle w:val="TableText"/>
              <w:spacing w:before="0" w:line="240" w:lineRule="auto"/>
              <w:ind w:left="709" w:hanging="709"/>
              <w:jc w:val="center"/>
            </w:pPr>
            <w:r w:rsidRPr="003E7106">
              <w:t>3</w:t>
            </w:r>
          </w:p>
        </w:tc>
        <w:tc>
          <w:tcPr>
            <w:tcW w:w="993" w:type="dxa"/>
          </w:tcPr>
          <w:p w:rsidR="00E27E97" w:rsidRPr="003E7106" w:rsidRDefault="00E27E97" w:rsidP="007C56CE">
            <w:pPr>
              <w:pStyle w:val="TableText"/>
              <w:spacing w:before="0" w:line="240" w:lineRule="auto"/>
              <w:ind w:left="709" w:hanging="709"/>
              <w:jc w:val="center"/>
            </w:pPr>
            <w:r w:rsidRPr="003E7106">
              <w:t>6</w:t>
            </w:r>
          </w:p>
        </w:tc>
      </w:tr>
      <w:tr w:rsidR="00E27E97" w:rsidRPr="003E7106" w:rsidTr="00254978">
        <w:trPr>
          <w:cantSplit/>
        </w:trPr>
        <w:tc>
          <w:tcPr>
            <w:tcW w:w="3261" w:type="dxa"/>
            <w:vMerge/>
            <w:shd w:val="clear" w:color="auto" w:fill="B8CCE4"/>
          </w:tcPr>
          <w:p w:rsidR="00E27E97" w:rsidRPr="003E7106" w:rsidRDefault="00E27E97" w:rsidP="007C56CE">
            <w:pPr>
              <w:pStyle w:val="TableText"/>
              <w:spacing w:line="240" w:lineRule="auto"/>
              <w:rPr>
                <w:rFonts w:cs="Arial"/>
                <w:color w:val="000000"/>
              </w:rPr>
            </w:pPr>
          </w:p>
        </w:tc>
        <w:tc>
          <w:tcPr>
            <w:tcW w:w="9355" w:type="dxa"/>
          </w:tcPr>
          <w:p w:rsidR="00E27E97" w:rsidRPr="003E7106" w:rsidRDefault="00E27E97" w:rsidP="007C56CE">
            <w:pPr>
              <w:pStyle w:val="TableText"/>
              <w:spacing w:before="0" w:line="240" w:lineRule="auto"/>
              <w:ind w:left="709" w:hanging="709"/>
              <w:rPr>
                <w:rFonts w:cs="Arial"/>
              </w:rPr>
            </w:pPr>
            <w:r w:rsidRPr="003E7106">
              <w:rPr>
                <w:rFonts w:cs="Arial"/>
              </w:rPr>
              <w:t>24895</w:t>
            </w:r>
            <w:r w:rsidRPr="003E7106">
              <w:rPr>
                <w:rFonts w:cs="Arial"/>
              </w:rPr>
              <w:tab/>
              <w:t>Describe the visual system and vision impairment</w:t>
            </w:r>
          </w:p>
        </w:tc>
        <w:tc>
          <w:tcPr>
            <w:tcW w:w="992" w:type="dxa"/>
          </w:tcPr>
          <w:p w:rsidR="00E27E97" w:rsidRPr="003E7106" w:rsidRDefault="00E27E97" w:rsidP="007C56CE">
            <w:pPr>
              <w:pStyle w:val="TableText"/>
              <w:spacing w:before="0" w:line="240" w:lineRule="auto"/>
              <w:ind w:left="709" w:hanging="709"/>
              <w:jc w:val="center"/>
            </w:pPr>
            <w:r w:rsidRPr="003E7106">
              <w:t>3</w:t>
            </w:r>
          </w:p>
        </w:tc>
        <w:tc>
          <w:tcPr>
            <w:tcW w:w="993" w:type="dxa"/>
          </w:tcPr>
          <w:p w:rsidR="00E27E97" w:rsidRPr="003E7106" w:rsidRDefault="00E27E97" w:rsidP="007C56CE">
            <w:pPr>
              <w:pStyle w:val="TableText"/>
              <w:spacing w:before="0" w:line="240" w:lineRule="auto"/>
              <w:ind w:left="709" w:hanging="709"/>
              <w:jc w:val="center"/>
            </w:pPr>
            <w:r w:rsidRPr="003E7106">
              <w:t>5</w:t>
            </w:r>
          </w:p>
        </w:tc>
      </w:tr>
      <w:tr w:rsidR="00E27E97" w:rsidRPr="003E7106" w:rsidTr="00254978">
        <w:trPr>
          <w:cantSplit/>
        </w:trPr>
        <w:tc>
          <w:tcPr>
            <w:tcW w:w="3261" w:type="dxa"/>
            <w:vMerge w:val="restart"/>
            <w:shd w:val="clear" w:color="auto" w:fill="B8CCE4"/>
          </w:tcPr>
          <w:p w:rsidR="00E27E97" w:rsidRPr="003E7106" w:rsidRDefault="00E27E97" w:rsidP="007C56CE">
            <w:pPr>
              <w:pStyle w:val="TableText"/>
              <w:spacing w:line="240" w:lineRule="auto"/>
              <w:ind w:left="425" w:hanging="425"/>
              <w:rPr>
                <w:rFonts w:cs="Arial"/>
                <w:color w:val="000000"/>
              </w:rPr>
            </w:pPr>
            <w:r w:rsidRPr="003E7106">
              <w:t>3.</w:t>
            </w:r>
            <w:r w:rsidRPr="003E7106">
              <w:tab/>
              <w:t>Provide person-centred support to maximise independence (continued)</w:t>
            </w:r>
          </w:p>
        </w:tc>
        <w:tc>
          <w:tcPr>
            <w:tcW w:w="9355" w:type="dxa"/>
          </w:tcPr>
          <w:p w:rsidR="00E27E97" w:rsidRPr="003E7106" w:rsidRDefault="00E27E97" w:rsidP="007C56CE">
            <w:pPr>
              <w:pStyle w:val="TableText"/>
              <w:spacing w:line="240" w:lineRule="auto"/>
              <w:ind w:left="709" w:hanging="709"/>
              <w:rPr>
                <w:rFonts w:cs="Arial"/>
              </w:rPr>
            </w:pPr>
            <w:r w:rsidRPr="003E7106">
              <w:rPr>
                <w:rFonts w:cs="Arial"/>
              </w:rPr>
              <w:t>25987</w:t>
            </w:r>
            <w:r w:rsidRPr="003E7106">
              <w:rPr>
                <w:rFonts w:cs="Arial"/>
              </w:rPr>
              <w:tab/>
              <w:t>Describe culturally safe principles and Pacific values for people in a health or wellbeing setting</w:t>
            </w:r>
          </w:p>
        </w:tc>
        <w:tc>
          <w:tcPr>
            <w:tcW w:w="992" w:type="dxa"/>
          </w:tcPr>
          <w:p w:rsidR="00E27E97" w:rsidRPr="003E7106" w:rsidRDefault="00E27E97" w:rsidP="007C56CE">
            <w:pPr>
              <w:pStyle w:val="TableText"/>
              <w:spacing w:line="240" w:lineRule="auto"/>
              <w:jc w:val="center"/>
            </w:pPr>
            <w:r w:rsidRPr="003E7106">
              <w:t>3</w:t>
            </w:r>
          </w:p>
        </w:tc>
        <w:tc>
          <w:tcPr>
            <w:tcW w:w="993" w:type="dxa"/>
          </w:tcPr>
          <w:p w:rsidR="00E27E97" w:rsidRPr="003E7106" w:rsidRDefault="00E27E97" w:rsidP="007C56CE">
            <w:pPr>
              <w:pStyle w:val="TableText"/>
              <w:spacing w:line="240" w:lineRule="auto"/>
              <w:jc w:val="center"/>
            </w:pPr>
            <w:r w:rsidRPr="003E7106">
              <w:t>6</w:t>
            </w:r>
          </w:p>
        </w:tc>
      </w:tr>
      <w:tr w:rsidR="00E27E97" w:rsidRPr="003E7106" w:rsidTr="00254978">
        <w:trPr>
          <w:cantSplit/>
        </w:trPr>
        <w:tc>
          <w:tcPr>
            <w:tcW w:w="3261" w:type="dxa"/>
            <w:vMerge/>
            <w:shd w:val="clear" w:color="auto" w:fill="B8CCE4"/>
          </w:tcPr>
          <w:p w:rsidR="00E27E97" w:rsidRPr="003E7106" w:rsidRDefault="00E27E97" w:rsidP="007C56CE">
            <w:pPr>
              <w:pStyle w:val="TableText"/>
              <w:spacing w:line="240" w:lineRule="auto"/>
              <w:rPr>
                <w:rFonts w:cs="Arial"/>
                <w:color w:val="000000"/>
              </w:rPr>
            </w:pPr>
          </w:p>
        </w:tc>
        <w:tc>
          <w:tcPr>
            <w:tcW w:w="9355" w:type="dxa"/>
          </w:tcPr>
          <w:p w:rsidR="00E27E97" w:rsidRPr="003E7106" w:rsidRDefault="00E27E97" w:rsidP="007C56CE">
            <w:pPr>
              <w:pStyle w:val="TableText"/>
              <w:spacing w:before="0" w:line="240" w:lineRule="auto"/>
              <w:ind w:left="709" w:hanging="709"/>
              <w:rPr>
                <w:rFonts w:cs="Arial"/>
              </w:rPr>
            </w:pPr>
            <w:r w:rsidRPr="003E7106">
              <w:rPr>
                <w:rFonts w:cs="Arial"/>
              </w:rPr>
              <w:t>26801</w:t>
            </w:r>
            <w:r w:rsidRPr="003E7106">
              <w:rPr>
                <w:rFonts w:cs="Arial"/>
              </w:rPr>
              <w:tab/>
              <w:t>Describe the benefits of breastfeeding, available support services, and Baby Friendly Initiatives</w:t>
            </w:r>
          </w:p>
        </w:tc>
        <w:tc>
          <w:tcPr>
            <w:tcW w:w="992" w:type="dxa"/>
          </w:tcPr>
          <w:p w:rsidR="00E27E97" w:rsidRPr="003E7106" w:rsidRDefault="00E27E97" w:rsidP="007C56CE">
            <w:pPr>
              <w:pStyle w:val="TableText"/>
              <w:spacing w:before="0" w:line="240" w:lineRule="auto"/>
              <w:jc w:val="center"/>
            </w:pPr>
            <w:r w:rsidRPr="003E7106">
              <w:t>3</w:t>
            </w:r>
          </w:p>
        </w:tc>
        <w:tc>
          <w:tcPr>
            <w:tcW w:w="993" w:type="dxa"/>
          </w:tcPr>
          <w:p w:rsidR="00E27E97" w:rsidRPr="003E7106" w:rsidRDefault="00E27E97" w:rsidP="007C56CE">
            <w:pPr>
              <w:pStyle w:val="TableText"/>
              <w:spacing w:before="0" w:line="240" w:lineRule="auto"/>
              <w:jc w:val="center"/>
            </w:pPr>
            <w:r w:rsidRPr="003E7106">
              <w:t>3</w:t>
            </w:r>
          </w:p>
        </w:tc>
      </w:tr>
      <w:tr w:rsidR="00E27E97" w:rsidRPr="003E7106" w:rsidTr="00254978">
        <w:trPr>
          <w:cantSplit/>
        </w:trPr>
        <w:tc>
          <w:tcPr>
            <w:tcW w:w="3261" w:type="dxa"/>
            <w:vMerge/>
            <w:shd w:val="clear" w:color="auto" w:fill="B8CCE4"/>
          </w:tcPr>
          <w:p w:rsidR="00E27E97" w:rsidRPr="003E7106" w:rsidRDefault="00E27E97" w:rsidP="007C56CE">
            <w:pPr>
              <w:pStyle w:val="TableText"/>
              <w:spacing w:line="240" w:lineRule="auto"/>
              <w:rPr>
                <w:rFonts w:cs="Arial"/>
                <w:color w:val="000000"/>
              </w:rPr>
            </w:pPr>
          </w:p>
        </w:tc>
        <w:tc>
          <w:tcPr>
            <w:tcW w:w="9355" w:type="dxa"/>
          </w:tcPr>
          <w:p w:rsidR="00E27E97" w:rsidRPr="003E7106" w:rsidRDefault="00E27E97" w:rsidP="007C56CE">
            <w:pPr>
              <w:pStyle w:val="TableText"/>
              <w:spacing w:before="0" w:line="240" w:lineRule="auto"/>
              <w:ind w:left="709" w:hanging="709"/>
              <w:rPr>
                <w:rFonts w:cs="Arial"/>
              </w:rPr>
            </w:pPr>
            <w:r w:rsidRPr="003E7106">
              <w:rPr>
                <w:rFonts w:cs="Arial"/>
              </w:rPr>
              <w:t>26802</w:t>
            </w:r>
            <w:r w:rsidRPr="003E7106">
              <w:rPr>
                <w:rFonts w:cs="Arial"/>
              </w:rPr>
              <w:tab/>
              <w:t>Describe information, interactions, and strategies to protect, promote and support breastfeeding</w:t>
            </w:r>
          </w:p>
        </w:tc>
        <w:tc>
          <w:tcPr>
            <w:tcW w:w="992" w:type="dxa"/>
          </w:tcPr>
          <w:p w:rsidR="00E27E97" w:rsidRPr="003E7106" w:rsidRDefault="00E27E97" w:rsidP="007C56CE">
            <w:pPr>
              <w:pStyle w:val="TableText"/>
              <w:spacing w:before="0" w:line="240" w:lineRule="auto"/>
              <w:jc w:val="center"/>
            </w:pPr>
            <w:r w:rsidRPr="003E7106">
              <w:t>3</w:t>
            </w:r>
          </w:p>
        </w:tc>
        <w:tc>
          <w:tcPr>
            <w:tcW w:w="993" w:type="dxa"/>
          </w:tcPr>
          <w:p w:rsidR="00E27E97" w:rsidRPr="003E7106" w:rsidRDefault="00E27E97" w:rsidP="007C56CE">
            <w:pPr>
              <w:pStyle w:val="TableText"/>
              <w:spacing w:before="0" w:line="240" w:lineRule="auto"/>
              <w:jc w:val="center"/>
            </w:pPr>
            <w:r w:rsidRPr="003E7106">
              <w:t>3</w:t>
            </w:r>
          </w:p>
        </w:tc>
      </w:tr>
      <w:tr w:rsidR="00E27E97" w:rsidRPr="003E7106" w:rsidTr="00254978">
        <w:trPr>
          <w:cantSplit/>
        </w:trPr>
        <w:tc>
          <w:tcPr>
            <w:tcW w:w="3261" w:type="dxa"/>
            <w:vMerge/>
            <w:shd w:val="clear" w:color="auto" w:fill="B8CCE4"/>
          </w:tcPr>
          <w:p w:rsidR="00E27E97" w:rsidRPr="003E7106" w:rsidRDefault="00E27E97" w:rsidP="007C56CE">
            <w:pPr>
              <w:pStyle w:val="TableText"/>
              <w:spacing w:line="240" w:lineRule="auto"/>
              <w:rPr>
                <w:rFonts w:cs="Arial"/>
                <w:color w:val="000000"/>
              </w:rPr>
            </w:pPr>
          </w:p>
        </w:tc>
        <w:tc>
          <w:tcPr>
            <w:tcW w:w="9355" w:type="dxa"/>
          </w:tcPr>
          <w:p w:rsidR="00E27E97" w:rsidRPr="003E7106" w:rsidRDefault="00E27E97" w:rsidP="007C56CE">
            <w:pPr>
              <w:pStyle w:val="TableText"/>
              <w:spacing w:before="0" w:line="240" w:lineRule="auto"/>
              <w:ind w:left="709" w:hanging="709"/>
              <w:rPr>
                <w:rFonts w:cs="Arial"/>
              </w:rPr>
            </w:pPr>
            <w:r w:rsidRPr="003E7106">
              <w:rPr>
                <w:rFonts w:cs="Arial"/>
              </w:rPr>
              <w:t>26971</w:t>
            </w:r>
            <w:r w:rsidRPr="003E7106">
              <w:rPr>
                <w:rFonts w:cs="Arial"/>
              </w:rPr>
              <w:tab/>
              <w:t>Describe factors that contribute to mental health wellbeing and mental health problems</w:t>
            </w:r>
          </w:p>
        </w:tc>
        <w:tc>
          <w:tcPr>
            <w:tcW w:w="992" w:type="dxa"/>
          </w:tcPr>
          <w:p w:rsidR="00E27E97" w:rsidRPr="003E7106" w:rsidRDefault="00E27E97" w:rsidP="007C56CE">
            <w:pPr>
              <w:pStyle w:val="TableText"/>
              <w:spacing w:before="0" w:line="240" w:lineRule="auto"/>
              <w:jc w:val="center"/>
            </w:pPr>
            <w:r w:rsidRPr="003E7106">
              <w:t>3</w:t>
            </w:r>
          </w:p>
        </w:tc>
        <w:tc>
          <w:tcPr>
            <w:tcW w:w="993" w:type="dxa"/>
          </w:tcPr>
          <w:p w:rsidR="00E27E97" w:rsidRPr="003E7106" w:rsidRDefault="00E27E97" w:rsidP="007C56CE">
            <w:pPr>
              <w:pStyle w:val="TableText"/>
              <w:spacing w:before="0" w:line="240" w:lineRule="auto"/>
              <w:jc w:val="center"/>
            </w:pPr>
            <w:r w:rsidRPr="003E7106">
              <w:t>3</w:t>
            </w:r>
          </w:p>
        </w:tc>
      </w:tr>
      <w:tr w:rsidR="00E27E97" w:rsidRPr="003E7106" w:rsidTr="00254978">
        <w:trPr>
          <w:cantSplit/>
        </w:trPr>
        <w:tc>
          <w:tcPr>
            <w:tcW w:w="3261" w:type="dxa"/>
            <w:vMerge/>
            <w:shd w:val="clear" w:color="auto" w:fill="B8CCE4"/>
          </w:tcPr>
          <w:p w:rsidR="00E27E97" w:rsidRPr="003E7106" w:rsidRDefault="00E27E97" w:rsidP="007C56CE">
            <w:pPr>
              <w:pStyle w:val="TableText"/>
              <w:spacing w:line="240" w:lineRule="auto"/>
              <w:rPr>
                <w:rFonts w:cs="Arial"/>
                <w:color w:val="000000"/>
              </w:rPr>
            </w:pPr>
          </w:p>
        </w:tc>
        <w:tc>
          <w:tcPr>
            <w:tcW w:w="9355" w:type="dxa"/>
          </w:tcPr>
          <w:p w:rsidR="00E27E97" w:rsidRPr="003E7106" w:rsidRDefault="00E27E97" w:rsidP="007C56CE">
            <w:pPr>
              <w:pStyle w:val="TableText"/>
              <w:spacing w:before="0" w:line="240" w:lineRule="auto"/>
              <w:ind w:left="709" w:hanging="709"/>
              <w:rPr>
                <w:rFonts w:cs="Arial"/>
              </w:rPr>
            </w:pPr>
            <w:r w:rsidRPr="003E7106">
              <w:rPr>
                <w:rFonts w:cs="Arial"/>
              </w:rPr>
              <w:t>26974</w:t>
            </w:r>
            <w:r w:rsidRPr="003E7106">
              <w:rPr>
                <w:rFonts w:cs="Arial"/>
              </w:rPr>
              <w:tab/>
              <w:t xml:space="preserve">Describe interaction, supports and reporting for people with dementia in a health or wellbeing setting </w:t>
            </w:r>
          </w:p>
        </w:tc>
        <w:tc>
          <w:tcPr>
            <w:tcW w:w="992" w:type="dxa"/>
          </w:tcPr>
          <w:p w:rsidR="00E27E97" w:rsidRPr="003E7106" w:rsidRDefault="00E27E97" w:rsidP="007C56CE">
            <w:pPr>
              <w:pStyle w:val="TableText"/>
              <w:spacing w:before="0" w:line="240" w:lineRule="auto"/>
              <w:jc w:val="center"/>
            </w:pPr>
            <w:r w:rsidRPr="003E7106">
              <w:t>3</w:t>
            </w:r>
          </w:p>
        </w:tc>
        <w:tc>
          <w:tcPr>
            <w:tcW w:w="993" w:type="dxa"/>
          </w:tcPr>
          <w:p w:rsidR="00E27E97" w:rsidRPr="003E7106" w:rsidRDefault="00E27E97" w:rsidP="007C56CE">
            <w:pPr>
              <w:pStyle w:val="TableText"/>
              <w:spacing w:before="0" w:line="240" w:lineRule="auto"/>
              <w:jc w:val="center"/>
            </w:pPr>
            <w:r w:rsidRPr="003E7106">
              <w:t>8</w:t>
            </w:r>
          </w:p>
        </w:tc>
      </w:tr>
      <w:tr w:rsidR="00E27E97" w:rsidRPr="003E7106" w:rsidTr="00254978">
        <w:trPr>
          <w:cantSplit/>
        </w:trPr>
        <w:tc>
          <w:tcPr>
            <w:tcW w:w="3261" w:type="dxa"/>
            <w:vMerge/>
            <w:shd w:val="clear" w:color="auto" w:fill="B8CCE4"/>
          </w:tcPr>
          <w:p w:rsidR="00E27E97" w:rsidRPr="003E7106" w:rsidRDefault="00E27E97" w:rsidP="007C56CE">
            <w:pPr>
              <w:pStyle w:val="TableText"/>
              <w:spacing w:line="240" w:lineRule="auto"/>
              <w:rPr>
                <w:rFonts w:cs="Arial"/>
                <w:color w:val="000000"/>
              </w:rPr>
            </w:pPr>
          </w:p>
        </w:tc>
        <w:tc>
          <w:tcPr>
            <w:tcW w:w="9355" w:type="dxa"/>
          </w:tcPr>
          <w:p w:rsidR="00E27E97" w:rsidRPr="003E7106" w:rsidRDefault="00E27E97" w:rsidP="007C56CE">
            <w:pPr>
              <w:pStyle w:val="TableText"/>
              <w:spacing w:before="0" w:line="240" w:lineRule="auto"/>
              <w:ind w:left="709" w:hanging="709"/>
              <w:rPr>
                <w:rFonts w:cs="Arial"/>
              </w:rPr>
            </w:pPr>
            <w:r w:rsidRPr="003E7106">
              <w:rPr>
                <w:rFonts w:cs="Arial"/>
              </w:rPr>
              <w:t>26977</w:t>
            </w:r>
            <w:r w:rsidRPr="003E7106">
              <w:rPr>
                <w:rFonts w:cs="Arial"/>
              </w:rPr>
              <w:tab/>
              <w:t xml:space="preserve">Move a person using equipment and care for equipment in a health or wellbeing setting </w:t>
            </w:r>
          </w:p>
        </w:tc>
        <w:tc>
          <w:tcPr>
            <w:tcW w:w="992" w:type="dxa"/>
          </w:tcPr>
          <w:p w:rsidR="00E27E97" w:rsidRPr="003E7106" w:rsidRDefault="00E27E97" w:rsidP="007C56CE">
            <w:pPr>
              <w:pStyle w:val="TableText"/>
              <w:spacing w:before="0" w:line="240" w:lineRule="auto"/>
              <w:jc w:val="center"/>
            </w:pPr>
            <w:r w:rsidRPr="003E7106">
              <w:t>3</w:t>
            </w:r>
          </w:p>
        </w:tc>
        <w:tc>
          <w:tcPr>
            <w:tcW w:w="993" w:type="dxa"/>
          </w:tcPr>
          <w:p w:rsidR="00E27E97" w:rsidRPr="003E7106" w:rsidRDefault="00E27E97" w:rsidP="007C56CE">
            <w:pPr>
              <w:pStyle w:val="TableText"/>
              <w:spacing w:before="0" w:line="240" w:lineRule="auto"/>
              <w:jc w:val="center"/>
            </w:pPr>
            <w:r w:rsidRPr="003E7106">
              <w:t>4</w:t>
            </w:r>
          </w:p>
        </w:tc>
      </w:tr>
      <w:tr w:rsidR="00E27E97" w:rsidRPr="003E7106" w:rsidTr="00254978">
        <w:trPr>
          <w:cantSplit/>
        </w:trPr>
        <w:tc>
          <w:tcPr>
            <w:tcW w:w="3261" w:type="dxa"/>
            <w:vMerge/>
            <w:shd w:val="clear" w:color="auto" w:fill="B8CCE4"/>
          </w:tcPr>
          <w:p w:rsidR="00E27E97" w:rsidRPr="003E7106" w:rsidRDefault="00E27E97" w:rsidP="007C56CE">
            <w:pPr>
              <w:pStyle w:val="TableText"/>
              <w:spacing w:line="240" w:lineRule="auto"/>
              <w:rPr>
                <w:rFonts w:cs="Arial"/>
                <w:color w:val="000000"/>
              </w:rPr>
            </w:pPr>
          </w:p>
        </w:tc>
        <w:tc>
          <w:tcPr>
            <w:tcW w:w="9355" w:type="dxa"/>
          </w:tcPr>
          <w:p w:rsidR="00E27E97" w:rsidRPr="003E7106" w:rsidRDefault="00E27E97" w:rsidP="007C56CE">
            <w:pPr>
              <w:pStyle w:val="TableText"/>
              <w:spacing w:before="0" w:line="240" w:lineRule="auto"/>
              <w:ind w:left="709" w:hanging="709"/>
              <w:rPr>
                <w:rFonts w:cs="Arial"/>
              </w:rPr>
            </w:pPr>
            <w:r w:rsidRPr="003E7106">
              <w:rPr>
                <w:rFonts w:cs="Arial"/>
              </w:rPr>
              <w:t>26980</w:t>
            </w:r>
            <w:r w:rsidRPr="003E7106">
              <w:rPr>
                <w:rFonts w:cs="Arial"/>
              </w:rPr>
              <w:tab/>
              <w:t>Provide comfort cares, and report changes in the condition of a person with a life-limiting condition</w:t>
            </w:r>
          </w:p>
        </w:tc>
        <w:tc>
          <w:tcPr>
            <w:tcW w:w="992" w:type="dxa"/>
          </w:tcPr>
          <w:p w:rsidR="00E27E97" w:rsidRPr="003E7106" w:rsidRDefault="00E27E97" w:rsidP="007C56CE">
            <w:pPr>
              <w:pStyle w:val="TableText"/>
              <w:spacing w:before="0" w:line="240" w:lineRule="auto"/>
              <w:jc w:val="center"/>
            </w:pPr>
            <w:r w:rsidRPr="003E7106">
              <w:t>3</w:t>
            </w:r>
          </w:p>
        </w:tc>
        <w:tc>
          <w:tcPr>
            <w:tcW w:w="993" w:type="dxa"/>
          </w:tcPr>
          <w:p w:rsidR="00E27E97" w:rsidRPr="003E7106" w:rsidRDefault="00E27E97" w:rsidP="007C56CE">
            <w:pPr>
              <w:pStyle w:val="TableText"/>
              <w:spacing w:before="0" w:line="240" w:lineRule="auto"/>
              <w:jc w:val="center"/>
            </w:pPr>
            <w:r w:rsidRPr="003E7106">
              <w:t>3</w:t>
            </w:r>
          </w:p>
        </w:tc>
      </w:tr>
      <w:tr w:rsidR="00E27E97" w:rsidRPr="003E7106" w:rsidTr="00254978">
        <w:trPr>
          <w:cantSplit/>
        </w:trPr>
        <w:tc>
          <w:tcPr>
            <w:tcW w:w="3261" w:type="dxa"/>
            <w:vMerge/>
            <w:shd w:val="clear" w:color="auto" w:fill="B8CCE4"/>
          </w:tcPr>
          <w:p w:rsidR="00E27E97" w:rsidRPr="003E7106" w:rsidRDefault="00E27E97" w:rsidP="007C56CE">
            <w:pPr>
              <w:pStyle w:val="TableText"/>
              <w:spacing w:line="240" w:lineRule="auto"/>
              <w:rPr>
                <w:rFonts w:cs="Arial"/>
                <w:color w:val="000000"/>
              </w:rPr>
            </w:pPr>
          </w:p>
        </w:tc>
        <w:tc>
          <w:tcPr>
            <w:tcW w:w="9355" w:type="dxa"/>
          </w:tcPr>
          <w:p w:rsidR="00E27E97" w:rsidRPr="003E7106" w:rsidRDefault="00E27E97" w:rsidP="007C56CE">
            <w:pPr>
              <w:pStyle w:val="TableText"/>
              <w:spacing w:before="0" w:line="240" w:lineRule="auto"/>
              <w:ind w:left="709" w:hanging="709"/>
              <w:rPr>
                <w:rFonts w:cs="Arial"/>
              </w:rPr>
            </w:pPr>
            <w:r w:rsidRPr="003E7106">
              <w:rPr>
                <w:rFonts w:cs="Arial"/>
              </w:rPr>
              <w:t>26981</w:t>
            </w:r>
            <w:r w:rsidRPr="003E7106">
              <w:rPr>
                <w:rFonts w:cs="Arial"/>
              </w:rPr>
              <w:tab/>
              <w:t>Describe risks, impacts and actions for falls and minimise risk of falls in a health or wellbeing setting</w:t>
            </w:r>
          </w:p>
        </w:tc>
        <w:tc>
          <w:tcPr>
            <w:tcW w:w="992" w:type="dxa"/>
          </w:tcPr>
          <w:p w:rsidR="00E27E97" w:rsidRPr="003E7106" w:rsidRDefault="00E27E97" w:rsidP="007C56CE">
            <w:pPr>
              <w:pStyle w:val="TableText"/>
              <w:spacing w:before="0" w:line="240" w:lineRule="auto"/>
              <w:jc w:val="center"/>
            </w:pPr>
            <w:r w:rsidRPr="003E7106">
              <w:t>3</w:t>
            </w:r>
          </w:p>
        </w:tc>
        <w:tc>
          <w:tcPr>
            <w:tcW w:w="993" w:type="dxa"/>
          </w:tcPr>
          <w:p w:rsidR="00E27E97" w:rsidRPr="003E7106" w:rsidRDefault="00E27E97" w:rsidP="007C56CE">
            <w:pPr>
              <w:pStyle w:val="TableText"/>
              <w:spacing w:before="0" w:line="240" w:lineRule="auto"/>
              <w:jc w:val="center"/>
            </w:pPr>
            <w:r w:rsidRPr="003E7106">
              <w:t>3</w:t>
            </w:r>
          </w:p>
        </w:tc>
      </w:tr>
      <w:tr w:rsidR="00E27E97" w:rsidRPr="003E7106" w:rsidTr="00254978">
        <w:trPr>
          <w:cantSplit/>
        </w:trPr>
        <w:tc>
          <w:tcPr>
            <w:tcW w:w="3261" w:type="dxa"/>
            <w:vMerge/>
            <w:shd w:val="clear" w:color="auto" w:fill="B8CCE4"/>
          </w:tcPr>
          <w:p w:rsidR="00E27E97" w:rsidRPr="003E7106" w:rsidRDefault="00E27E97" w:rsidP="007C56CE">
            <w:pPr>
              <w:pStyle w:val="TableText"/>
              <w:spacing w:line="240" w:lineRule="auto"/>
              <w:rPr>
                <w:rFonts w:cs="Arial"/>
                <w:color w:val="000000"/>
              </w:rPr>
            </w:pPr>
          </w:p>
        </w:tc>
        <w:tc>
          <w:tcPr>
            <w:tcW w:w="9355" w:type="dxa"/>
          </w:tcPr>
          <w:p w:rsidR="00E27E97" w:rsidRPr="003E7106" w:rsidRDefault="00E27E97" w:rsidP="007C56CE">
            <w:pPr>
              <w:pStyle w:val="TableText"/>
              <w:spacing w:before="0" w:line="240" w:lineRule="auto"/>
              <w:ind w:left="709" w:hanging="709"/>
              <w:rPr>
                <w:rFonts w:cs="Arial"/>
              </w:rPr>
            </w:pPr>
            <w:r w:rsidRPr="003E7106">
              <w:rPr>
                <w:rFonts w:cs="Arial"/>
              </w:rPr>
              <w:t>27455</w:t>
            </w:r>
            <w:r w:rsidRPr="003E7106">
              <w:rPr>
                <w:rFonts w:cs="Arial"/>
              </w:rPr>
              <w:tab/>
              <w:t>Conduct nutrition screening with, and provide education to, adult clients in an aged care, health or disability context</w:t>
            </w:r>
          </w:p>
        </w:tc>
        <w:tc>
          <w:tcPr>
            <w:tcW w:w="992" w:type="dxa"/>
          </w:tcPr>
          <w:p w:rsidR="00E27E97" w:rsidRPr="003E7106" w:rsidRDefault="00E27E97" w:rsidP="007C56CE">
            <w:pPr>
              <w:pStyle w:val="TableText"/>
              <w:spacing w:before="0" w:line="240" w:lineRule="auto"/>
              <w:jc w:val="center"/>
            </w:pPr>
            <w:r w:rsidRPr="003E7106">
              <w:t>4</w:t>
            </w:r>
          </w:p>
        </w:tc>
        <w:tc>
          <w:tcPr>
            <w:tcW w:w="993" w:type="dxa"/>
          </w:tcPr>
          <w:p w:rsidR="00E27E97" w:rsidRPr="003E7106" w:rsidRDefault="00E27E97" w:rsidP="007C56CE">
            <w:pPr>
              <w:pStyle w:val="TableText"/>
              <w:spacing w:before="0" w:line="240" w:lineRule="auto"/>
              <w:jc w:val="center"/>
            </w:pPr>
            <w:r w:rsidRPr="003E7106">
              <w:t>6</w:t>
            </w:r>
          </w:p>
        </w:tc>
      </w:tr>
      <w:tr w:rsidR="00E27E97" w:rsidRPr="003E7106" w:rsidTr="00254978">
        <w:trPr>
          <w:cantSplit/>
        </w:trPr>
        <w:tc>
          <w:tcPr>
            <w:tcW w:w="3261" w:type="dxa"/>
            <w:vMerge/>
            <w:shd w:val="clear" w:color="auto" w:fill="B8CCE4"/>
          </w:tcPr>
          <w:p w:rsidR="00E27E97" w:rsidRPr="003E7106" w:rsidRDefault="00E27E97" w:rsidP="007C56CE">
            <w:pPr>
              <w:pStyle w:val="TableText"/>
              <w:spacing w:line="240" w:lineRule="auto"/>
              <w:rPr>
                <w:rFonts w:cs="Arial"/>
                <w:color w:val="000000"/>
              </w:rPr>
            </w:pPr>
          </w:p>
        </w:tc>
        <w:tc>
          <w:tcPr>
            <w:tcW w:w="9355" w:type="dxa"/>
          </w:tcPr>
          <w:p w:rsidR="00E27E97" w:rsidRPr="003E7106" w:rsidRDefault="00E27E97" w:rsidP="007C56CE">
            <w:pPr>
              <w:pStyle w:val="TableText"/>
              <w:spacing w:before="0" w:line="240" w:lineRule="auto"/>
              <w:ind w:left="709" w:hanging="709"/>
              <w:rPr>
                <w:rFonts w:cs="Arial"/>
              </w:rPr>
            </w:pPr>
            <w:r w:rsidRPr="003E7106">
              <w:rPr>
                <w:rFonts w:cs="Arial"/>
              </w:rPr>
              <w:t>27457</w:t>
            </w:r>
            <w:r w:rsidRPr="003E7106">
              <w:rPr>
                <w:rFonts w:cs="Arial"/>
              </w:rPr>
              <w:tab/>
              <w:t>Describe the anatomy and physiology of systems and associated organs of the human body</w:t>
            </w:r>
          </w:p>
        </w:tc>
        <w:tc>
          <w:tcPr>
            <w:tcW w:w="992" w:type="dxa"/>
          </w:tcPr>
          <w:p w:rsidR="00E27E97" w:rsidRPr="003E7106" w:rsidRDefault="00E27E97" w:rsidP="007C56CE">
            <w:pPr>
              <w:pStyle w:val="TableText"/>
              <w:spacing w:before="0" w:line="240" w:lineRule="auto"/>
              <w:jc w:val="center"/>
            </w:pPr>
            <w:r w:rsidRPr="003E7106">
              <w:t>3</w:t>
            </w:r>
          </w:p>
        </w:tc>
        <w:tc>
          <w:tcPr>
            <w:tcW w:w="993" w:type="dxa"/>
          </w:tcPr>
          <w:p w:rsidR="00E27E97" w:rsidRPr="003E7106" w:rsidRDefault="00E27E97" w:rsidP="007C56CE">
            <w:pPr>
              <w:pStyle w:val="TableText"/>
              <w:spacing w:before="0" w:line="240" w:lineRule="auto"/>
              <w:jc w:val="center"/>
            </w:pPr>
            <w:r w:rsidRPr="003E7106">
              <w:t>6</w:t>
            </w:r>
          </w:p>
        </w:tc>
      </w:tr>
      <w:tr w:rsidR="00E27E97" w:rsidRPr="003E7106" w:rsidTr="00254978">
        <w:trPr>
          <w:cantSplit/>
        </w:trPr>
        <w:tc>
          <w:tcPr>
            <w:tcW w:w="3261" w:type="dxa"/>
            <w:vMerge/>
            <w:shd w:val="clear" w:color="auto" w:fill="B8CCE4"/>
          </w:tcPr>
          <w:p w:rsidR="00E27E97" w:rsidRPr="003E7106" w:rsidRDefault="00E27E97" w:rsidP="007C56CE">
            <w:pPr>
              <w:pStyle w:val="TableText"/>
              <w:spacing w:line="240" w:lineRule="auto"/>
              <w:rPr>
                <w:rFonts w:cs="Arial"/>
                <w:color w:val="000000"/>
              </w:rPr>
            </w:pPr>
          </w:p>
        </w:tc>
        <w:tc>
          <w:tcPr>
            <w:tcW w:w="9355" w:type="dxa"/>
          </w:tcPr>
          <w:p w:rsidR="00E27E97" w:rsidRPr="003E7106" w:rsidRDefault="00E27E97" w:rsidP="007C56CE">
            <w:pPr>
              <w:pStyle w:val="TableText"/>
              <w:spacing w:before="0" w:line="240" w:lineRule="auto"/>
              <w:ind w:left="709" w:hanging="709"/>
              <w:rPr>
                <w:rFonts w:cs="Arial"/>
              </w:rPr>
            </w:pPr>
            <w:r w:rsidRPr="003E7106">
              <w:rPr>
                <w:rFonts w:cs="Arial"/>
              </w:rPr>
              <w:t>27458</w:t>
            </w:r>
            <w:r w:rsidRPr="003E7106">
              <w:rPr>
                <w:rFonts w:cs="Arial"/>
              </w:rPr>
              <w:tab/>
              <w:t>Support a person to develop and achieve goals in a health or wellbeing setting</w:t>
            </w:r>
          </w:p>
        </w:tc>
        <w:tc>
          <w:tcPr>
            <w:tcW w:w="992" w:type="dxa"/>
          </w:tcPr>
          <w:p w:rsidR="00E27E97" w:rsidRPr="003E7106" w:rsidRDefault="00E27E97" w:rsidP="007C56CE">
            <w:pPr>
              <w:pStyle w:val="TableText"/>
              <w:spacing w:before="0" w:line="240" w:lineRule="auto"/>
              <w:jc w:val="center"/>
            </w:pPr>
            <w:r w:rsidRPr="003E7106">
              <w:t>3</w:t>
            </w:r>
          </w:p>
        </w:tc>
        <w:tc>
          <w:tcPr>
            <w:tcW w:w="993" w:type="dxa"/>
          </w:tcPr>
          <w:p w:rsidR="00E27E97" w:rsidRPr="003E7106" w:rsidRDefault="00E27E97" w:rsidP="007C56CE">
            <w:pPr>
              <w:pStyle w:val="TableText"/>
              <w:spacing w:before="0" w:line="240" w:lineRule="auto"/>
              <w:jc w:val="center"/>
            </w:pPr>
            <w:r w:rsidRPr="003E7106">
              <w:t>3</w:t>
            </w:r>
          </w:p>
        </w:tc>
      </w:tr>
      <w:tr w:rsidR="00E27E97" w:rsidRPr="003E7106" w:rsidTr="00254978">
        <w:trPr>
          <w:cantSplit/>
        </w:trPr>
        <w:tc>
          <w:tcPr>
            <w:tcW w:w="3261" w:type="dxa"/>
            <w:vMerge/>
            <w:shd w:val="clear" w:color="auto" w:fill="B8CCE4"/>
          </w:tcPr>
          <w:p w:rsidR="00E27E97" w:rsidRPr="003E7106" w:rsidRDefault="00E27E97" w:rsidP="007C56CE">
            <w:pPr>
              <w:pStyle w:val="TableText"/>
              <w:spacing w:line="240" w:lineRule="auto"/>
              <w:rPr>
                <w:rFonts w:cs="Arial"/>
                <w:color w:val="000000"/>
              </w:rPr>
            </w:pPr>
          </w:p>
        </w:tc>
        <w:tc>
          <w:tcPr>
            <w:tcW w:w="9355" w:type="dxa"/>
          </w:tcPr>
          <w:p w:rsidR="00E27E97" w:rsidRPr="003E7106" w:rsidRDefault="00E27E97" w:rsidP="007C56CE">
            <w:pPr>
              <w:pStyle w:val="TableText"/>
              <w:spacing w:before="0" w:line="240" w:lineRule="auto"/>
              <w:ind w:left="709" w:hanging="709"/>
              <w:rPr>
                <w:rFonts w:cs="Arial"/>
              </w:rPr>
            </w:pPr>
            <w:r w:rsidRPr="003E7106">
              <w:rPr>
                <w:rFonts w:cs="Arial"/>
              </w:rPr>
              <w:t>27460</w:t>
            </w:r>
            <w:r w:rsidRPr="003E7106">
              <w:rPr>
                <w:rFonts w:cs="Arial"/>
              </w:rPr>
              <w:tab/>
              <w:t>Describe a person’s nutritional requirements and feeding issues in a health or wellbeing setting</w:t>
            </w:r>
          </w:p>
        </w:tc>
        <w:tc>
          <w:tcPr>
            <w:tcW w:w="992" w:type="dxa"/>
          </w:tcPr>
          <w:p w:rsidR="00E27E97" w:rsidRPr="003E7106" w:rsidRDefault="00E27E97" w:rsidP="007C56CE">
            <w:pPr>
              <w:pStyle w:val="TableText"/>
              <w:spacing w:before="0" w:line="240" w:lineRule="auto"/>
              <w:jc w:val="center"/>
            </w:pPr>
            <w:r w:rsidRPr="003E7106">
              <w:t>3</w:t>
            </w:r>
          </w:p>
        </w:tc>
        <w:tc>
          <w:tcPr>
            <w:tcW w:w="993" w:type="dxa"/>
          </w:tcPr>
          <w:p w:rsidR="00E27E97" w:rsidRPr="003E7106" w:rsidRDefault="00E27E97" w:rsidP="007C56CE">
            <w:pPr>
              <w:pStyle w:val="TableText"/>
              <w:spacing w:before="0" w:line="240" w:lineRule="auto"/>
              <w:jc w:val="center"/>
            </w:pPr>
            <w:r w:rsidRPr="003E7106">
              <w:t>3</w:t>
            </w:r>
          </w:p>
        </w:tc>
      </w:tr>
      <w:tr w:rsidR="00E27E97" w:rsidRPr="003E7106" w:rsidTr="00254978">
        <w:trPr>
          <w:cantSplit/>
        </w:trPr>
        <w:tc>
          <w:tcPr>
            <w:tcW w:w="3261" w:type="dxa"/>
            <w:vMerge/>
            <w:shd w:val="clear" w:color="auto" w:fill="B8CCE4"/>
          </w:tcPr>
          <w:p w:rsidR="00E27E97" w:rsidRPr="003E7106" w:rsidRDefault="00E27E97" w:rsidP="007C56CE">
            <w:pPr>
              <w:pStyle w:val="TableText"/>
              <w:spacing w:line="240" w:lineRule="auto"/>
              <w:rPr>
                <w:rFonts w:cs="Arial"/>
                <w:color w:val="000000"/>
              </w:rPr>
            </w:pPr>
          </w:p>
        </w:tc>
        <w:tc>
          <w:tcPr>
            <w:tcW w:w="9355" w:type="dxa"/>
          </w:tcPr>
          <w:p w:rsidR="00E27E97" w:rsidRPr="003E7106" w:rsidRDefault="00E27E97" w:rsidP="007C56CE">
            <w:pPr>
              <w:pStyle w:val="TableText"/>
              <w:spacing w:before="0" w:line="240" w:lineRule="auto"/>
              <w:ind w:left="709" w:hanging="709"/>
              <w:rPr>
                <w:rFonts w:cs="Arial"/>
              </w:rPr>
            </w:pPr>
            <w:r w:rsidRPr="003E7106">
              <w:rPr>
                <w:rFonts w:cs="Arial"/>
              </w:rPr>
              <w:t>27461</w:t>
            </w:r>
            <w:r w:rsidRPr="003E7106">
              <w:rPr>
                <w:rFonts w:cs="Arial"/>
              </w:rPr>
              <w:tab/>
              <w:t>Describe indicators of wellness, interventions, care and support for people at different human lifespan stages</w:t>
            </w:r>
          </w:p>
        </w:tc>
        <w:tc>
          <w:tcPr>
            <w:tcW w:w="992" w:type="dxa"/>
          </w:tcPr>
          <w:p w:rsidR="00E27E97" w:rsidRPr="003E7106" w:rsidRDefault="00E27E97" w:rsidP="007C56CE">
            <w:pPr>
              <w:pStyle w:val="TableText"/>
              <w:spacing w:before="0" w:line="240" w:lineRule="auto"/>
              <w:jc w:val="center"/>
            </w:pPr>
            <w:r w:rsidRPr="003E7106">
              <w:t>3</w:t>
            </w:r>
          </w:p>
        </w:tc>
        <w:tc>
          <w:tcPr>
            <w:tcW w:w="993" w:type="dxa"/>
          </w:tcPr>
          <w:p w:rsidR="00E27E97" w:rsidRPr="003E7106" w:rsidRDefault="00E27E97" w:rsidP="007C56CE">
            <w:pPr>
              <w:pStyle w:val="TableText"/>
              <w:spacing w:before="0" w:line="240" w:lineRule="auto"/>
              <w:jc w:val="center"/>
            </w:pPr>
            <w:r w:rsidRPr="003E7106">
              <w:t>5</w:t>
            </w:r>
          </w:p>
        </w:tc>
      </w:tr>
      <w:tr w:rsidR="00E27E97" w:rsidRPr="003E7106" w:rsidTr="00254978">
        <w:trPr>
          <w:cantSplit/>
        </w:trPr>
        <w:tc>
          <w:tcPr>
            <w:tcW w:w="3261" w:type="dxa"/>
            <w:vMerge/>
            <w:shd w:val="clear" w:color="auto" w:fill="B8CCE4"/>
          </w:tcPr>
          <w:p w:rsidR="00E27E97" w:rsidRPr="003E7106" w:rsidRDefault="00E27E97" w:rsidP="007C56CE">
            <w:pPr>
              <w:pStyle w:val="TableText"/>
              <w:spacing w:line="240" w:lineRule="auto"/>
              <w:rPr>
                <w:rFonts w:cs="Arial"/>
                <w:color w:val="000000"/>
              </w:rPr>
            </w:pPr>
          </w:p>
        </w:tc>
        <w:tc>
          <w:tcPr>
            <w:tcW w:w="9355" w:type="dxa"/>
          </w:tcPr>
          <w:p w:rsidR="00E27E97" w:rsidRPr="003E7106" w:rsidRDefault="00E27E97" w:rsidP="007C56CE">
            <w:pPr>
              <w:pStyle w:val="TableText"/>
              <w:spacing w:before="0" w:line="240" w:lineRule="auto"/>
              <w:ind w:left="709" w:hanging="709"/>
              <w:rPr>
                <w:rFonts w:cs="Arial"/>
              </w:rPr>
            </w:pPr>
            <w:r w:rsidRPr="003E7106">
              <w:rPr>
                <w:rFonts w:cs="Arial"/>
              </w:rPr>
              <w:t>27468</w:t>
            </w:r>
            <w:r w:rsidRPr="003E7106">
              <w:rPr>
                <w:rFonts w:cs="Arial"/>
              </w:rPr>
              <w:tab/>
              <w:t>Apply safe swallowing strategies in a health or wellbeing setting</w:t>
            </w:r>
          </w:p>
        </w:tc>
        <w:tc>
          <w:tcPr>
            <w:tcW w:w="992" w:type="dxa"/>
          </w:tcPr>
          <w:p w:rsidR="00E27E97" w:rsidRPr="003E7106" w:rsidRDefault="00E27E97" w:rsidP="007C56CE">
            <w:pPr>
              <w:pStyle w:val="TableText"/>
              <w:spacing w:before="0" w:line="240" w:lineRule="auto"/>
              <w:jc w:val="center"/>
            </w:pPr>
            <w:r w:rsidRPr="003E7106">
              <w:t>3</w:t>
            </w:r>
          </w:p>
        </w:tc>
        <w:tc>
          <w:tcPr>
            <w:tcW w:w="993" w:type="dxa"/>
          </w:tcPr>
          <w:p w:rsidR="00E27E97" w:rsidRPr="003E7106" w:rsidRDefault="00E27E97" w:rsidP="007C56CE">
            <w:pPr>
              <w:pStyle w:val="TableText"/>
              <w:spacing w:before="0" w:line="240" w:lineRule="auto"/>
              <w:jc w:val="center"/>
            </w:pPr>
            <w:r w:rsidRPr="003E7106">
              <w:t>5</w:t>
            </w:r>
          </w:p>
        </w:tc>
      </w:tr>
      <w:tr w:rsidR="00E27E97" w:rsidRPr="003E7106" w:rsidTr="00254978">
        <w:trPr>
          <w:cantSplit/>
        </w:trPr>
        <w:tc>
          <w:tcPr>
            <w:tcW w:w="3261" w:type="dxa"/>
            <w:vMerge/>
            <w:shd w:val="clear" w:color="auto" w:fill="B8CCE4"/>
          </w:tcPr>
          <w:p w:rsidR="00E27E97" w:rsidRPr="003E7106" w:rsidRDefault="00E27E97" w:rsidP="007C56CE">
            <w:pPr>
              <w:pStyle w:val="TableText"/>
              <w:spacing w:line="240" w:lineRule="auto"/>
              <w:rPr>
                <w:rFonts w:cs="Arial"/>
                <w:color w:val="000000"/>
              </w:rPr>
            </w:pPr>
          </w:p>
        </w:tc>
        <w:tc>
          <w:tcPr>
            <w:tcW w:w="9355" w:type="dxa"/>
          </w:tcPr>
          <w:p w:rsidR="00E27E97" w:rsidRPr="003E7106" w:rsidDel="003C14F7" w:rsidRDefault="00E27E97" w:rsidP="007C56CE">
            <w:pPr>
              <w:pStyle w:val="TableText"/>
              <w:spacing w:before="0" w:line="240" w:lineRule="auto"/>
              <w:ind w:left="709" w:hanging="709"/>
              <w:rPr>
                <w:rFonts w:cs="Arial"/>
              </w:rPr>
            </w:pPr>
            <w:r w:rsidRPr="003E7106">
              <w:rPr>
                <w:rFonts w:cs="Arial"/>
              </w:rPr>
              <w:t>27504</w:t>
            </w:r>
            <w:r w:rsidRPr="003E7106">
              <w:rPr>
                <w:rFonts w:cs="Arial"/>
              </w:rPr>
              <w:tab/>
              <w:t>Describe tobacco use and dependence and smoking cessation treatments</w:t>
            </w:r>
          </w:p>
        </w:tc>
        <w:tc>
          <w:tcPr>
            <w:tcW w:w="992" w:type="dxa"/>
          </w:tcPr>
          <w:p w:rsidR="00E27E97" w:rsidRPr="003E7106" w:rsidDel="003C14F7" w:rsidRDefault="00E27E97" w:rsidP="007C56CE">
            <w:pPr>
              <w:pStyle w:val="TableText"/>
              <w:spacing w:before="0" w:line="240" w:lineRule="auto"/>
              <w:jc w:val="center"/>
            </w:pPr>
            <w:r w:rsidRPr="003E7106">
              <w:t>3</w:t>
            </w:r>
          </w:p>
        </w:tc>
        <w:tc>
          <w:tcPr>
            <w:tcW w:w="993" w:type="dxa"/>
          </w:tcPr>
          <w:p w:rsidR="00E27E97" w:rsidRPr="003E7106" w:rsidDel="003C14F7" w:rsidRDefault="00E27E97" w:rsidP="007C56CE">
            <w:pPr>
              <w:pStyle w:val="TableText"/>
              <w:spacing w:before="0" w:line="240" w:lineRule="auto"/>
              <w:jc w:val="center"/>
            </w:pPr>
            <w:r w:rsidRPr="003E7106">
              <w:t>5</w:t>
            </w:r>
          </w:p>
        </w:tc>
      </w:tr>
      <w:tr w:rsidR="00E27E97" w:rsidRPr="003E7106" w:rsidTr="00254978">
        <w:trPr>
          <w:cantSplit/>
        </w:trPr>
        <w:tc>
          <w:tcPr>
            <w:tcW w:w="3261" w:type="dxa"/>
            <w:vMerge/>
            <w:shd w:val="clear" w:color="auto" w:fill="B8CCE4"/>
          </w:tcPr>
          <w:p w:rsidR="00E27E97" w:rsidRPr="003E7106" w:rsidRDefault="00E27E97" w:rsidP="007C56CE">
            <w:pPr>
              <w:pStyle w:val="TableText"/>
              <w:spacing w:line="240" w:lineRule="auto"/>
              <w:rPr>
                <w:rFonts w:cs="Arial"/>
                <w:color w:val="000000"/>
              </w:rPr>
            </w:pPr>
          </w:p>
        </w:tc>
        <w:tc>
          <w:tcPr>
            <w:tcW w:w="9355" w:type="dxa"/>
          </w:tcPr>
          <w:p w:rsidR="00E27E97" w:rsidRPr="003E7106" w:rsidDel="003C14F7" w:rsidRDefault="00E27E97" w:rsidP="007C56CE">
            <w:pPr>
              <w:pStyle w:val="TableText"/>
              <w:spacing w:before="0" w:line="240" w:lineRule="auto"/>
              <w:ind w:left="709" w:hanging="709"/>
              <w:rPr>
                <w:rFonts w:cs="Arial"/>
              </w:rPr>
            </w:pPr>
            <w:r w:rsidRPr="003E7106">
              <w:rPr>
                <w:rFonts w:cs="Arial"/>
              </w:rPr>
              <w:t>27505</w:t>
            </w:r>
            <w:r w:rsidRPr="003E7106">
              <w:rPr>
                <w:rFonts w:cs="Arial"/>
              </w:rPr>
              <w:tab/>
              <w:t>Assess a person for tobacco dependence and support a person to develop a stop-smoking plan</w:t>
            </w:r>
          </w:p>
        </w:tc>
        <w:tc>
          <w:tcPr>
            <w:tcW w:w="992" w:type="dxa"/>
          </w:tcPr>
          <w:p w:rsidR="00E27E97" w:rsidRPr="003E7106" w:rsidDel="003C14F7" w:rsidRDefault="00E27E97" w:rsidP="007C56CE">
            <w:pPr>
              <w:pStyle w:val="TableText"/>
              <w:spacing w:before="0" w:line="240" w:lineRule="auto"/>
              <w:jc w:val="center"/>
            </w:pPr>
            <w:r w:rsidRPr="003E7106">
              <w:t>3</w:t>
            </w:r>
          </w:p>
        </w:tc>
        <w:tc>
          <w:tcPr>
            <w:tcW w:w="993" w:type="dxa"/>
          </w:tcPr>
          <w:p w:rsidR="00E27E97" w:rsidRPr="003E7106" w:rsidDel="003C14F7" w:rsidRDefault="00E27E97" w:rsidP="007C56CE">
            <w:pPr>
              <w:pStyle w:val="TableText"/>
              <w:spacing w:before="0" w:line="240" w:lineRule="auto"/>
              <w:jc w:val="center"/>
            </w:pPr>
            <w:r w:rsidRPr="003E7106">
              <w:t>6</w:t>
            </w:r>
          </w:p>
        </w:tc>
      </w:tr>
      <w:tr w:rsidR="00E27E97" w:rsidRPr="003E7106" w:rsidTr="00254978">
        <w:trPr>
          <w:cantSplit/>
        </w:trPr>
        <w:tc>
          <w:tcPr>
            <w:tcW w:w="3261" w:type="dxa"/>
            <w:vMerge/>
            <w:shd w:val="clear" w:color="auto" w:fill="B8CCE4"/>
          </w:tcPr>
          <w:p w:rsidR="00E27E97" w:rsidRPr="003E7106" w:rsidRDefault="00E27E97" w:rsidP="007C56CE">
            <w:pPr>
              <w:pStyle w:val="TableText"/>
              <w:spacing w:line="240" w:lineRule="auto"/>
              <w:rPr>
                <w:rFonts w:cs="Arial"/>
                <w:color w:val="000000"/>
              </w:rPr>
            </w:pPr>
          </w:p>
        </w:tc>
        <w:tc>
          <w:tcPr>
            <w:tcW w:w="9355" w:type="dxa"/>
          </w:tcPr>
          <w:p w:rsidR="00E27E97" w:rsidRPr="003E7106" w:rsidRDefault="00E27E97" w:rsidP="007C56CE">
            <w:pPr>
              <w:pStyle w:val="TableText"/>
              <w:spacing w:before="0" w:line="240" w:lineRule="auto"/>
              <w:ind w:left="709" w:hanging="709"/>
              <w:rPr>
                <w:rFonts w:cs="Arial"/>
              </w:rPr>
            </w:pPr>
            <w:r w:rsidRPr="003E7106">
              <w:rPr>
                <w:rFonts w:cs="Arial"/>
              </w:rPr>
              <w:t>27506</w:t>
            </w:r>
            <w:r w:rsidRPr="003E7106">
              <w:rPr>
                <w:rFonts w:cs="Arial"/>
              </w:rPr>
              <w:tab/>
              <w:t>Support a person to implement a stop-smoking plan and provide ongoing support to assist a person to remain smoke free</w:t>
            </w:r>
          </w:p>
        </w:tc>
        <w:tc>
          <w:tcPr>
            <w:tcW w:w="992" w:type="dxa"/>
          </w:tcPr>
          <w:p w:rsidR="00E27E97" w:rsidRPr="003E7106" w:rsidRDefault="00E27E97" w:rsidP="007C56CE">
            <w:pPr>
              <w:pStyle w:val="TableText"/>
              <w:spacing w:before="0" w:line="240" w:lineRule="auto"/>
              <w:jc w:val="center"/>
            </w:pPr>
            <w:r w:rsidRPr="003E7106">
              <w:t>3</w:t>
            </w:r>
          </w:p>
        </w:tc>
        <w:tc>
          <w:tcPr>
            <w:tcW w:w="993" w:type="dxa"/>
          </w:tcPr>
          <w:p w:rsidR="00E27E97" w:rsidRPr="003E7106" w:rsidRDefault="00E27E97" w:rsidP="007C56CE">
            <w:pPr>
              <w:pStyle w:val="TableText"/>
              <w:spacing w:before="0" w:line="240" w:lineRule="auto"/>
              <w:jc w:val="center"/>
            </w:pPr>
            <w:r w:rsidRPr="003E7106">
              <w:t>6</w:t>
            </w:r>
          </w:p>
        </w:tc>
      </w:tr>
      <w:tr w:rsidR="00E27E97" w:rsidRPr="003E7106" w:rsidTr="00254978">
        <w:trPr>
          <w:cantSplit/>
        </w:trPr>
        <w:tc>
          <w:tcPr>
            <w:tcW w:w="3261" w:type="dxa"/>
            <w:vMerge/>
            <w:shd w:val="clear" w:color="auto" w:fill="B8CCE4"/>
          </w:tcPr>
          <w:p w:rsidR="00E27E97" w:rsidRPr="003E7106" w:rsidRDefault="00E27E97" w:rsidP="007C56CE">
            <w:pPr>
              <w:pStyle w:val="TableText"/>
              <w:spacing w:line="240" w:lineRule="auto"/>
              <w:rPr>
                <w:rFonts w:cs="Arial"/>
                <w:color w:val="000000"/>
              </w:rPr>
            </w:pPr>
          </w:p>
        </w:tc>
        <w:tc>
          <w:tcPr>
            <w:tcW w:w="9355" w:type="dxa"/>
          </w:tcPr>
          <w:p w:rsidR="00E27E97" w:rsidRPr="003E7106" w:rsidRDefault="00E27E97" w:rsidP="007C56CE">
            <w:pPr>
              <w:pStyle w:val="TableText"/>
              <w:spacing w:before="0" w:line="240" w:lineRule="auto"/>
              <w:ind w:left="709" w:hanging="709"/>
              <w:rPr>
                <w:rFonts w:cs="Arial"/>
              </w:rPr>
            </w:pPr>
            <w:r w:rsidRPr="003E7106">
              <w:rPr>
                <w:rFonts w:cs="Arial"/>
              </w:rPr>
              <w:t>27507</w:t>
            </w:r>
            <w:r w:rsidRPr="003E7106">
              <w:rPr>
                <w:rFonts w:cs="Arial"/>
              </w:rPr>
              <w:tab/>
              <w:t>Describe tobacco control and health promotion as ways of enhancing health through smoking cessation</w:t>
            </w:r>
          </w:p>
        </w:tc>
        <w:tc>
          <w:tcPr>
            <w:tcW w:w="992" w:type="dxa"/>
          </w:tcPr>
          <w:p w:rsidR="00E27E97" w:rsidRPr="003E7106" w:rsidRDefault="00E27E97" w:rsidP="007C56CE">
            <w:pPr>
              <w:pStyle w:val="TableText"/>
              <w:spacing w:before="0" w:line="240" w:lineRule="auto"/>
              <w:jc w:val="center"/>
            </w:pPr>
            <w:r w:rsidRPr="003E7106">
              <w:t>3</w:t>
            </w:r>
          </w:p>
        </w:tc>
        <w:tc>
          <w:tcPr>
            <w:tcW w:w="993" w:type="dxa"/>
          </w:tcPr>
          <w:p w:rsidR="00E27E97" w:rsidRPr="003E7106" w:rsidRDefault="00E27E97" w:rsidP="007C56CE">
            <w:pPr>
              <w:pStyle w:val="TableText"/>
              <w:spacing w:before="0" w:line="240" w:lineRule="auto"/>
              <w:jc w:val="center"/>
            </w:pPr>
            <w:r w:rsidRPr="003E7106">
              <w:t>5</w:t>
            </w:r>
          </w:p>
        </w:tc>
      </w:tr>
      <w:tr w:rsidR="00E27E97" w:rsidRPr="003E7106" w:rsidTr="00254978">
        <w:trPr>
          <w:cantSplit/>
        </w:trPr>
        <w:tc>
          <w:tcPr>
            <w:tcW w:w="3261" w:type="dxa"/>
            <w:vMerge/>
            <w:shd w:val="clear" w:color="auto" w:fill="B8CCE4"/>
          </w:tcPr>
          <w:p w:rsidR="00E27E97" w:rsidRPr="003E7106" w:rsidRDefault="00E27E97" w:rsidP="007C56CE">
            <w:pPr>
              <w:pStyle w:val="TableText"/>
              <w:spacing w:line="240" w:lineRule="auto"/>
              <w:rPr>
                <w:rFonts w:cs="Arial"/>
                <w:color w:val="000000"/>
              </w:rPr>
            </w:pPr>
          </w:p>
        </w:tc>
        <w:tc>
          <w:tcPr>
            <w:tcW w:w="9355" w:type="dxa"/>
          </w:tcPr>
          <w:p w:rsidR="00E27E97" w:rsidRPr="003E7106" w:rsidRDefault="00E27E97" w:rsidP="007C56CE">
            <w:pPr>
              <w:pStyle w:val="TableText"/>
              <w:spacing w:before="0" w:line="240" w:lineRule="auto"/>
              <w:ind w:left="709" w:hanging="709"/>
              <w:rPr>
                <w:rFonts w:cs="Arial"/>
              </w:rPr>
            </w:pPr>
            <w:r w:rsidRPr="003E7106">
              <w:rPr>
                <w:rFonts w:cs="Arial"/>
              </w:rPr>
              <w:t>27833</w:t>
            </w:r>
            <w:r w:rsidRPr="003E7106">
              <w:rPr>
                <w:rFonts w:cs="Arial"/>
              </w:rPr>
              <w:tab/>
              <w:t>Support people to use assistive equipment and move in a health or wellbeing setting</w:t>
            </w:r>
          </w:p>
        </w:tc>
        <w:tc>
          <w:tcPr>
            <w:tcW w:w="992" w:type="dxa"/>
          </w:tcPr>
          <w:p w:rsidR="00E27E97" w:rsidRPr="003E7106" w:rsidRDefault="00E27E97" w:rsidP="007C56CE">
            <w:pPr>
              <w:pStyle w:val="TableText"/>
              <w:spacing w:before="0" w:line="240" w:lineRule="auto"/>
              <w:jc w:val="center"/>
            </w:pPr>
            <w:r w:rsidRPr="003E7106">
              <w:t>3</w:t>
            </w:r>
          </w:p>
        </w:tc>
        <w:tc>
          <w:tcPr>
            <w:tcW w:w="993" w:type="dxa"/>
          </w:tcPr>
          <w:p w:rsidR="00E27E97" w:rsidRPr="003E7106" w:rsidRDefault="00E27E97" w:rsidP="007C56CE">
            <w:pPr>
              <w:pStyle w:val="TableText"/>
              <w:spacing w:before="0" w:line="240" w:lineRule="auto"/>
              <w:jc w:val="center"/>
            </w:pPr>
            <w:r w:rsidRPr="003E7106">
              <w:t>5</w:t>
            </w:r>
          </w:p>
        </w:tc>
      </w:tr>
      <w:tr w:rsidR="00E27E97" w:rsidRPr="003E7106" w:rsidTr="00254978">
        <w:trPr>
          <w:cantSplit/>
        </w:trPr>
        <w:tc>
          <w:tcPr>
            <w:tcW w:w="3261" w:type="dxa"/>
            <w:vMerge/>
            <w:shd w:val="clear" w:color="auto" w:fill="B8CCE4"/>
          </w:tcPr>
          <w:p w:rsidR="00E27E97" w:rsidRPr="003E7106" w:rsidRDefault="00E27E97" w:rsidP="007C56CE">
            <w:pPr>
              <w:pStyle w:val="TableText"/>
              <w:spacing w:line="240" w:lineRule="auto"/>
              <w:rPr>
                <w:rFonts w:cs="Arial"/>
                <w:color w:val="000000"/>
              </w:rPr>
            </w:pPr>
          </w:p>
        </w:tc>
        <w:tc>
          <w:tcPr>
            <w:tcW w:w="9355" w:type="dxa"/>
          </w:tcPr>
          <w:p w:rsidR="00E27E97" w:rsidRPr="003E7106" w:rsidRDefault="00E27E97" w:rsidP="007C56CE">
            <w:pPr>
              <w:pStyle w:val="TableText"/>
              <w:spacing w:before="0" w:line="240" w:lineRule="auto"/>
              <w:ind w:left="709" w:hanging="709"/>
              <w:rPr>
                <w:rFonts w:cs="Arial"/>
              </w:rPr>
            </w:pPr>
            <w:r w:rsidRPr="003E7106">
              <w:rPr>
                <w:rFonts w:cs="Arial"/>
              </w:rPr>
              <w:t>28520</w:t>
            </w:r>
            <w:r w:rsidRPr="003E7106">
              <w:rPr>
                <w:rFonts w:cs="Arial"/>
              </w:rPr>
              <w:tab/>
              <w:t>Demonstrate knowledge of specific conditions and their impacts when providing support in a health or wellbeing setting</w:t>
            </w:r>
          </w:p>
        </w:tc>
        <w:tc>
          <w:tcPr>
            <w:tcW w:w="992" w:type="dxa"/>
          </w:tcPr>
          <w:p w:rsidR="00E27E97" w:rsidRPr="003E7106" w:rsidRDefault="00E27E97" w:rsidP="007C56CE">
            <w:pPr>
              <w:pStyle w:val="TableText"/>
              <w:spacing w:before="0" w:line="240" w:lineRule="auto"/>
              <w:jc w:val="center"/>
            </w:pPr>
            <w:r w:rsidRPr="003E7106">
              <w:t>3</w:t>
            </w:r>
          </w:p>
        </w:tc>
        <w:tc>
          <w:tcPr>
            <w:tcW w:w="993" w:type="dxa"/>
          </w:tcPr>
          <w:p w:rsidR="00E27E97" w:rsidRPr="003E7106" w:rsidRDefault="00E27E97" w:rsidP="007C56CE">
            <w:pPr>
              <w:pStyle w:val="TableText"/>
              <w:spacing w:before="0" w:line="240" w:lineRule="auto"/>
              <w:jc w:val="center"/>
            </w:pPr>
            <w:r w:rsidRPr="003E7106">
              <w:t>9</w:t>
            </w:r>
          </w:p>
        </w:tc>
      </w:tr>
      <w:tr w:rsidR="00E27E97" w:rsidRPr="003E7106" w:rsidTr="00254978">
        <w:trPr>
          <w:cantSplit/>
        </w:trPr>
        <w:tc>
          <w:tcPr>
            <w:tcW w:w="3261" w:type="dxa"/>
            <w:vMerge/>
            <w:shd w:val="clear" w:color="auto" w:fill="B8CCE4"/>
          </w:tcPr>
          <w:p w:rsidR="00E27E97" w:rsidRPr="003E7106" w:rsidRDefault="00E27E97" w:rsidP="007C56CE">
            <w:pPr>
              <w:pStyle w:val="TableText"/>
              <w:spacing w:line="240" w:lineRule="auto"/>
              <w:rPr>
                <w:rFonts w:cs="Arial"/>
                <w:color w:val="000000"/>
              </w:rPr>
            </w:pPr>
          </w:p>
        </w:tc>
        <w:tc>
          <w:tcPr>
            <w:tcW w:w="9355" w:type="dxa"/>
          </w:tcPr>
          <w:p w:rsidR="00E27E97" w:rsidRPr="003E7106" w:rsidRDefault="00E27E97" w:rsidP="007C56CE">
            <w:pPr>
              <w:pStyle w:val="TableText"/>
              <w:spacing w:before="0" w:line="240" w:lineRule="auto"/>
              <w:ind w:left="709" w:hanging="709"/>
              <w:rPr>
                <w:rFonts w:cs="Arial"/>
              </w:rPr>
            </w:pPr>
            <w:r w:rsidRPr="003E7106">
              <w:rPr>
                <w:rFonts w:cs="Arial"/>
              </w:rPr>
              <w:t>28523</w:t>
            </w:r>
            <w:r w:rsidRPr="003E7106">
              <w:rPr>
                <w:rFonts w:cs="Arial"/>
              </w:rPr>
              <w:tab/>
              <w:t>Describe community values and attitudes and their impact on people with disabilities</w:t>
            </w:r>
          </w:p>
        </w:tc>
        <w:tc>
          <w:tcPr>
            <w:tcW w:w="992" w:type="dxa"/>
          </w:tcPr>
          <w:p w:rsidR="00E27E97" w:rsidRPr="003E7106" w:rsidRDefault="00E27E97" w:rsidP="007C56CE">
            <w:pPr>
              <w:pStyle w:val="TableText"/>
              <w:spacing w:before="0" w:line="240" w:lineRule="auto"/>
              <w:jc w:val="center"/>
            </w:pPr>
            <w:r w:rsidRPr="003E7106">
              <w:t>3</w:t>
            </w:r>
          </w:p>
        </w:tc>
        <w:tc>
          <w:tcPr>
            <w:tcW w:w="993" w:type="dxa"/>
          </w:tcPr>
          <w:p w:rsidR="00E27E97" w:rsidRPr="003E7106" w:rsidRDefault="00E27E97" w:rsidP="007C56CE">
            <w:pPr>
              <w:pStyle w:val="TableText"/>
              <w:spacing w:before="0" w:line="240" w:lineRule="auto"/>
              <w:jc w:val="center"/>
            </w:pPr>
            <w:r w:rsidRPr="003E7106">
              <w:t>2</w:t>
            </w:r>
          </w:p>
        </w:tc>
      </w:tr>
      <w:tr w:rsidR="00E27E97" w:rsidRPr="003E7106" w:rsidTr="00254978">
        <w:trPr>
          <w:cantSplit/>
        </w:trPr>
        <w:tc>
          <w:tcPr>
            <w:tcW w:w="3261" w:type="dxa"/>
            <w:vMerge/>
            <w:shd w:val="clear" w:color="auto" w:fill="B8CCE4"/>
          </w:tcPr>
          <w:p w:rsidR="00E27E97" w:rsidRPr="003E7106" w:rsidRDefault="00E27E97" w:rsidP="007C56CE">
            <w:pPr>
              <w:pStyle w:val="TableText"/>
              <w:spacing w:line="240" w:lineRule="auto"/>
              <w:ind w:left="425" w:hanging="425"/>
              <w:rPr>
                <w:rFonts w:cs="Arial"/>
                <w:color w:val="000000"/>
              </w:rPr>
            </w:pPr>
          </w:p>
        </w:tc>
        <w:tc>
          <w:tcPr>
            <w:tcW w:w="9355" w:type="dxa"/>
          </w:tcPr>
          <w:p w:rsidR="00E27E97" w:rsidRPr="003E7106" w:rsidRDefault="00E27E97" w:rsidP="007C56CE">
            <w:pPr>
              <w:pStyle w:val="TableText"/>
              <w:spacing w:before="0" w:line="240" w:lineRule="auto"/>
              <w:ind w:left="709" w:hanging="709"/>
              <w:rPr>
                <w:rFonts w:cs="Arial"/>
              </w:rPr>
            </w:pPr>
            <w:r w:rsidRPr="003E7106">
              <w:rPr>
                <w:rFonts w:cs="Arial"/>
              </w:rPr>
              <w:t>28524</w:t>
            </w:r>
            <w:r w:rsidRPr="003E7106">
              <w:rPr>
                <w:rFonts w:cs="Arial"/>
              </w:rPr>
              <w:tab/>
              <w:t xml:space="preserve">Describe a person’s holistic needs and their impact on a person’s health and wellbeing </w:t>
            </w:r>
          </w:p>
        </w:tc>
        <w:tc>
          <w:tcPr>
            <w:tcW w:w="992" w:type="dxa"/>
          </w:tcPr>
          <w:p w:rsidR="00E27E97" w:rsidRPr="003E7106" w:rsidRDefault="00E27E97" w:rsidP="007C56CE">
            <w:pPr>
              <w:pStyle w:val="TableText"/>
              <w:spacing w:before="0" w:line="240" w:lineRule="auto"/>
              <w:jc w:val="center"/>
            </w:pPr>
            <w:r w:rsidRPr="003E7106">
              <w:t>3</w:t>
            </w:r>
          </w:p>
        </w:tc>
        <w:tc>
          <w:tcPr>
            <w:tcW w:w="993" w:type="dxa"/>
          </w:tcPr>
          <w:p w:rsidR="00E27E97" w:rsidRPr="003E7106" w:rsidRDefault="00E27E97" w:rsidP="007C56CE">
            <w:pPr>
              <w:pStyle w:val="TableText"/>
              <w:spacing w:before="0" w:line="240" w:lineRule="auto"/>
              <w:jc w:val="center"/>
            </w:pPr>
            <w:r w:rsidRPr="003E7106">
              <w:t>5</w:t>
            </w:r>
          </w:p>
        </w:tc>
      </w:tr>
      <w:tr w:rsidR="00E27E97" w:rsidRPr="003E7106" w:rsidTr="00254978">
        <w:trPr>
          <w:cantSplit/>
        </w:trPr>
        <w:tc>
          <w:tcPr>
            <w:tcW w:w="3261" w:type="dxa"/>
            <w:vMerge/>
            <w:shd w:val="clear" w:color="auto" w:fill="B8CCE4"/>
          </w:tcPr>
          <w:p w:rsidR="00E27E97" w:rsidRPr="003E7106" w:rsidRDefault="00E27E97" w:rsidP="007C56CE">
            <w:pPr>
              <w:pStyle w:val="TableText"/>
              <w:spacing w:line="240" w:lineRule="auto"/>
              <w:rPr>
                <w:rFonts w:cs="Arial"/>
                <w:color w:val="000000"/>
              </w:rPr>
            </w:pPr>
          </w:p>
        </w:tc>
        <w:tc>
          <w:tcPr>
            <w:tcW w:w="9355" w:type="dxa"/>
          </w:tcPr>
          <w:p w:rsidR="00E27E97" w:rsidRPr="003E7106" w:rsidRDefault="00E27E97" w:rsidP="007C56CE">
            <w:pPr>
              <w:pStyle w:val="TableText"/>
              <w:spacing w:before="0" w:line="240" w:lineRule="auto"/>
              <w:ind w:left="709" w:hanging="709"/>
              <w:rPr>
                <w:rFonts w:cs="Arial"/>
              </w:rPr>
            </w:pPr>
            <w:r w:rsidRPr="003E7106">
              <w:rPr>
                <w:rFonts w:cs="Arial"/>
              </w:rPr>
              <w:t>28528</w:t>
            </w:r>
            <w:r w:rsidRPr="003E7106">
              <w:rPr>
                <w:rFonts w:cs="Arial"/>
              </w:rPr>
              <w:tab/>
              <w:t xml:space="preserve">Describe and apply a person-centred approach in a health and wellbeing setting </w:t>
            </w:r>
          </w:p>
        </w:tc>
        <w:tc>
          <w:tcPr>
            <w:tcW w:w="992" w:type="dxa"/>
          </w:tcPr>
          <w:p w:rsidR="00E27E97" w:rsidRPr="003E7106" w:rsidRDefault="00E27E97" w:rsidP="007C56CE">
            <w:pPr>
              <w:pStyle w:val="TableText"/>
              <w:spacing w:before="0" w:line="240" w:lineRule="auto"/>
              <w:jc w:val="center"/>
            </w:pPr>
            <w:r w:rsidRPr="003E7106">
              <w:t>3</w:t>
            </w:r>
          </w:p>
        </w:tc>
        <w:tc>
          <w:tcPr>
            <w:tcW w:w="993" w:type="dxa"/>
          </w:tcPr>
          <w:p w:rsidR="00E27E97" w:rsidRPr="003E7106" w:rsidRDefault="00E27E97" w:rsidP="007C56CE">
            <w:pPr>
              <w:pStyle w:val="TableText"/>
              <w:spacing w:before="0" w:line="240" w:lineRule="auto"/>
              <w:jc w:val="center"/>
            </w:pPr>
            <w:r w:rsidRPr="003E7106">
              <w:t>3</w:t>
            </w:r>
          </w:p>
        </w:tc>
      </w:tr>
      <w:tr w:rsidR="00E27E97" w:rsidRPr="003E7106" w:rsidTr="00E27E97">
        <w:trPr>
          <w:cantSplit/>
        </w:trPr>
        <w:tc>
          <w:tcPr>
            <w:tcW w:w="3261" w:type="dxa"/>
            <w:vMerge/>
            <w:shd w:val="clear" w:color="auto" w:fill="B8CCE4"/>
          </w:tcPr>
          <w:p w:rsidR="00E27E97" w:rsidRPr="003E7106" w:rsidRDefault="00E27E97" w:rsidP="007C56CE">
            <w:pPr>
              <w:pStyle w:val="TableText"/>
              <w:spacing w:line="240" w:lineRule="auto"/>
              <w:rPr>
                <w:rFonts w:cs="Arial"/>
                <w:color w:val="000000"/>
              </w:rPr>
            </w:pPr>
          </w:p>
        </w:tc>
        <w:tc>
          <w:tcPr>
            <w:tcW w:w="9355" w:type="dxa"/>
          </w:tcPr>
          <w:p w:rsidR="00E27E97" w:rsidRPr="003E7106" w:rsidRDefault="00E27E97" w:rsidP="007C56CE">
            <w:pPr>
              <w:pStyle w:val="TableText"/>
              <w:spacing w:before="0" w:line="240" w:lineRule="auto"/>
              <w:ind w:left="709" w:hanging="709"/>
              <w:rPr>
                <w:rFonts w:cs="Arial"/>
              </w:rPr>
            </w:pPr>
            <w:r w:rsidRPr="003E7106">
              <w:rPr>
                <w:rFonts w:cs="Arial"/>
              </w:rPr>
              <w:t>28535</w:t>
            </w:r>
            <w:r w:rsidRPr="003E7106">
              <w:rPr>
                <w:rFonts w:cs="Arial"/>
              </w:rPr>
              <w:tab/>
              <w:t>Demonstrate knowledge of procedures for infection control in a health and wellbeing setting</w:t>
            </w:r>
          </w:p>
        </w:tc>
        <w:tc>
          <w:tcPr>
            <w:tcW w:w="992" w:type="dxa"/>
          </w:tcPr>
          <w:p w:rsidR="00E27E97" w:rsidRPr="003E7106" w:rsidRDefault="00E27E97" w:rsidP="007C56CE">
            <w:pPr>
              <w:pStyle w:val="TableText"/>
              <w:spacing w:before="0" w:line="240" w:lineRule="auto"/>
              <w:jc w:val="center"/>
            </w:pPr>
            <w:r w:rsidRPr="003E7106">
              <w:t>3</w:t>
            </w:r>
          </w:p>
        </w:tc>
        <w:tc>
          <w:tcPr>
            <w:tcW w:w="993" w:type="dxa"/>
          </w:tcPr>
          <w:p w:rsidR="00E27E97" w:rsidRPr="003E7106" w:rsidRDefault="00E27E97" w:rsidP="007C56CE">
            <w:pPr>
              <w:pStyle w:val="TableText"/>
              <w:spacing w:before="0" w:line="240" w:lineRule="auto"/>
              <w:jc w:val="center"/>
            </w:pPr>
            <w:r w:rsidRPr="003E7106">
              <w:t>4</w:t>
            </w:r>
          </w:p>
        </w:tc>
      </w:tr>
      <w:tr w:rsidR="00E27E97" w:rsidRPr="003E7106" w:rsidTr="00E27E97">
        <w:trPr>
          <w:cantSplit/>
        </w:trPr>
        <w:tc>
          <w:tcPr>
            <w:tcW w:w="3261" w:type="dxa"/>
            <w:vMerge/>
            <w:shd w:val="clear" w:color="auto" w:fill="B8CCE4"/>
          </w:tcPr>
          <w:p w:rsidR="00E27E97" w:rsidRPr="003E7106" w:rsidRDefault="00E27E97" w:rsidP="007C56CE">
            <w:pPr>
              <w:pStyle w:val="TableText"/>
              <w:spacing w:line="240" w:lineRule="auto"/>
              <w:rPr>
                <w:rFonts w:cs="Arial"/>
                <w:color w:val="000000"/>
              </w:rPr>
            </w:pPr>
          </w:p>
        </w:tc>
        <w:tc>
          <w:tcPr>
            <w:tcW w:w="9355" w:type="dxa"/>
          </w:tcPr>
          <w:p w:rsidR="00E27E97" w:rsidRPr="003E7106" w:rsidRDefault="00E27E97" w:rsidP="007C56CE">
            <w:pPr>
              <w:pStyle w:val="TableText"/>
              <w:spacing w:before="0" w:line="240" w:lineRule="auto"/>
              <w:ind w:left="709" w:hanging="709"/>
              <w:rPr>
                <w:rFonts w:cs="Arial"/>
              </w:rPr>
            </w:pPr>
            <w:r w:rsidRPr="003E7106">
              <w:rPr>
                <w:rFonts w:cs="Arial"/>
              </w:rPr>
              <w:t>28536</w:t>
            </w:r>
            <w:r w:rsidRPr="003E7106">
              <w:rPr>
                <w:rFonts w:cs="Arial"/>
              </w:rPr>
              <w:tab/>
              <w:t>Apply health, safety and security practices in a health or wellbeing setting</w:t>
            </w:r>
          </w:p>
        </w:tc>
        <w:tc>
          <w:tcPr>
            <w:tcW w:w="992" w:type="dxa"/>
          </w:tcPr>
          <w:p w:rsidR="00E27E97" w:rsidRPr="003E7106" w:rsidRDefault="00E27E97" w:rsidP="007C56CE">
            <w:pPr>
              <w:pStyle w:val="TableText"/>
              <w:spacing w:before="0" w:line="240" w:lineRule="auto"/>
              <w:jc w:val="center"/>
            </w:pPr>
            <w:r w:rsidRPr="003E7106">
              <w:t>3</w:t>
            </w:r>
          </w:p>
        </w:tc>
        <w:tc>
          <w:tcPr>
            <w:tcW w:w="993" w:type="dxa"/>
          </w:tcPr>
          <w:p w:rsidR="00E27E97" w:rsidRPr="003E7106" w:rsidRDefault="00E27E97" w:rsidP="007C56CE">
            <w:pPr>
              <w:pStyle w:val="TableText"/>
              <w:spacing w:before="0" w:line="240" w:lineRule="auto"/>
              <w:jc w:val="center"/>
            </w:pPr>
            <w:r w:rsidRPr="003E7106">
              <w:t>5</w:t>
            </w:r>
          </w:p>
        </w:tc>
      </w:tr>
      <w:tr w:rsidR="00E27E97" w:rsidRPr="003E7106" w:rsidTr="00E27E97">
        <w:trPr>
          <w:cantSplit/>
        </w:trPr>
        <w:tc>
          <w:tcPr>
            <w:tcW w:w="3261" w:type="dxa"/>
            <w:vMerge/>
            <w:shd w:val="clear" w:color="auto" w:fill="B8CCE4"/>
          </w:tcPr>
          <w:p w:rsidR="00E27E97" w:rsidRPr="003E7106" w:rsidRDefault="00E27E97" w:rsidP="007C56CE">
            <w:pPr>
              <w:pStyle w:val="TableText"/>
              <w:spacing w:line="240" w:lineRule="auto"/>
            </w:pPr>
          </w:p>
        </w:tc>
        <w:tc>
          <w:tcPr>
            <w:tcW w:w="9355" w:type="dxa"/>
            <w:shd w:val="clear" w:color="auto" w:fill="auto"/>
          </w:tcPr>
          <w:p w:rsidR="00E27E97" w:rsidRPr="003E7106" w:rsidRDefault="00E27E97" w:rsidP="007C56CE">
            <w:pPr>
              <w:pStyle w:val="TableText"/>
              <w:spacing w:before="0" w:line="240" w:lineRule="auto"/>
              <w:ind w:left="709" w:hanging="709"/>
              <w:rPr>
                <w:rFonts w:cs="Arial"/>
              </w:rPr>
            </w:pPr>
            <w:r w:rsidRPr="003E7106">
              <w:rPr>
                <w:rFonts w:cs="Arial"/>
              </w:rPr>
              <w:t>28543</w:t>
            </w:r>
            <w:r w:rsidRPr="003E7106">
              <w:rPr>
                <w:rFonts w:cs="Arial"/>
              </w:rPr>
              <w:tab/>
              <w:t>Describe culturally safe Māori operating principles and values, and their application in a health or wellbeing setting</w:t>
            </w:r>
          </w:p>
        </w:tc>
        <w:tc>
          <w:tcPr>
            <w:tcW w:w="992" w:type="dxa"/>
            <w:shd w:val="clear" w:color="auto" w:fill="auto"/>
          </w:tcPr>
          <w:p w:rsidR="00E27E97" w:rsidRPr="003E7106" w:rsidRDefault="00E27E97" w:rsidP="007C56CE">
            <w:pPr>
              <w:pStyle w:val="TableText"/>
              <w:spacing w:before="0" w:line="240" w:lineRule="auto"/>
              <w:ind w:left="567" w:hanging="567"/>
              <w:jc w:val="center"/>
              <w:rPr>
                <w:rFonts w:cs="Arial"/>
              </w:rPr>
            </w:pPr>
            <w:r w:rsidRPr="003E7106">
              <w:rPr>
                <w:rFonts w:cs="Arial"/>
              </w:rPr>
              <w:t>3</w:t>
            </w:r>
          </w:p>
        </w:tc>
        <w:tc>
          <w:tcPr>
            <w:tcW w:w="993" w:type="dxa"/>
            <w:shd w:val="clear" w:color="auto" w:fill="auto"/>
          </w:tcPr>
          <w:p w:rsidR="00E27E97" w:rsidRPr="003E7106" w:rsidRDefault="00E27E97" w:rsidP="007C56CE">
            <w:pPr>
              <w:pStyle w:val="TableText"/>
              <w:spacing w:before="0" w:line="240" w:lineRule="auto"/>
              <w:ind w:left="567" w:hanging="567"/>
              <w:jc w:val="center"/>
              <w:rPr>
                <w:rFonts w:cs="Arial"/>
              </w:rPr>
            </w:pPr>
            <w:r w:rsidRPr="003E7106">
              <w:rPr>
                <w:rFonts w:cs="Arial"/>
              </w:rPr>
              <w:t>5</w:t>
            </w:r>
          </w:p>
        </w:tc>
      </w:tr>
      <w:tr w:rsidR="00E27E97" w:rsidRPr="003E7106" w:rsidTr="00E27E97">
        <w:trPr>
          <w:cantSplit/>
        </w:trPr>
        <w:tc>
          <w:tcPr>
            <w:tcW w:w="3261" w:type="dxa"/>
            <w:vMerge/>
            <w:shd w:val="clear" w:color="auto" w:fill="B8CCE4"/>
          </w:tcPr>
          <w:p w:rsidR="00E27E97" w:rsidRPr="003E7106" w:rsidRDefault="00E27E97" w:rsidP="007C56CE">
            <w:pPr>
              <w:pStyle w:val="TableText"/>
              <w:spacing w:line="240" w:lineRule="auto"/>
            </w:pPr>
          </w:p>
        </w:tc>
        <w:tc>
          <w:tcPr>
            <w:tcW w:w="9355" w:type="dxa"/>
          </w:tcPr>
          <w:p w:rsidR="00E27E97" w:rsidRPr="003E7106" w:rsidRDefault="00E27E97" w:rsidP="007C56CE">
            <w:pPr>
              <w:pStyle w:val="TableText"/>
              <w:spacing w:before="0" w:line="240" w:lineRule="auto"/>
              <w:ind w:left="709" w:hanging="709"/>
              <w:rPr>
                <w:rFonts w:cs="Arial"/>
              </w:rPr>
            </w:pPr>
            <w:r w:rsidRPr="003E7106">
              <w:rPr>
                <w:rFonts w:cs="Arial"/>
              </w:rPr>
              <w:t>28544</w:t>
            </w:r>
            <w:r w:rsidRPr="003E7106">
              <w:rPr>
                <w:rFonts w:cs="Arial"/>
              </w:rPr>
              <w:tab/>
              <w:t>Provide support to people from different cultures in a health or wellbeing setting</w:t>
            </w:r>
          </w:p>
        </w:tc>
        <w:tc>
          <w:tcPr>
            <w:tcW w:w="992" w:type="dxa"/>
          </w:tcPr>
          <w:p w:rsidR="00E27E97" w:rsidRPr="003E7106" w:rsidRDefault="00E27E97" w:rsidP="007C56CE">
            <w:pPr>
              <w:pStyle w:val="TableText"/>
              <w:spacing w:before="0" w:line="240" w:lineRule="auto"/>
              <w:jc w:val="center"/>
            </w:pPr>
            <w:r w:rsidRPr="003E7106">
              <w:t>3</w:t>
            </w:r>
          </w:p>
        </w:tc>
        <w:tc>
          <w:tcPr>
            <w:tcW w:w="993" w:type="dxa"/>
          </w:tcPr>
          <w:p w:rsidR="00E27E97" w:rsidRPr="003E7106" w:rsidRDefault="00E27E97" w:rsidP="007C56CE">
            <w:pPr>
              <w:pStyle w:val="TableText"/>
              <w:spacing w:before="0" w:line="240" w:lineRule="auto"/>
              <w:jc w:val="center"/>
            </w:pPr>
            <w:r w:rsidRPr="003E7106">
              <w:t>5</w:t>
            </w:r>
          </w:p>
        </w:tc>
      </w:tr>
      <w:tr w:rsidR="009A3110" w:rsidRPr="003E7106" w:rsidTr="00E27E97">
        <w:trPr>
          <w:cantSplit/>
        </w:trPr>
        <w:tc>
          <w:tcPr>
            <w:tcW w:w="3261" w:type="dxa"/>
            <w:vMerge w:val="restart"/>
            <w:shd w:val="clear" w:color="auto" w:fill="B8CCE4"/>
          </w:tcPr>
          <w:p w:rsidR="009A3110" w:rsidRPr="003E7106" w:rsidRDefault="009A3110" w:rsidP="007C56CE">
            <w:pPr>
              <w:pStyle w:val="TableText"/>
              <w:spacing w:line="240" w:lineRule="auto"/>
              <w:ind w:left="425" w:hanging="425"/>
            </w:pPr>
            <w:r w:rsidRPr="003E7106">
              <w:t>3.</w:t>
            </w:r>
            <w:r w:rsidRPr="003E7106">
              <w:tab/>
              <w:t>Provide person-centred support to maximise independence (continued)</w:t>
            </w:r>
          </w:p>
        </w:tc>
        <w:tc>
          <w:tcPr>
            <w:tcW w:w="9355" w:type="dxa"/>
          </w:tcPr>
          <w:p w:rsidR="009A3110" w:rsidRPr="003E7106" w:rsidRDefault="009A3110" w:rsidP="007C56CE">
            <w:pPr>
              <w:pStyle w:val="TableText"/>
              <w:spacing w:line="240" w:lineRule="auto"/>
              <w:ind w:left="709" w:hanging="709"/>
              <w:rPr>
                <w:rFonts w:cs="Arial"/>
              </w:rPr>
            </w:pPr>
            <w:r w:rsidRPr="003E7106">
              <w:rPr>
                <w:rFonts w:cs="Arial"/>
              </w:rPr>
              <w:t>28546</w:t>
            </w:r>
            <w:r w:rsidRPr="003E7106">
              <w:rPr>
                <w:rFonts w:cs="Arial"/>
              </w:rPr>
              <w:tab/>
              <w:t>Describe incontinence and interventions to assist a person in a health or wellbeing setting</w:t>
            </w:r>
          </w:p>
        </w:tc>
        <w:tc>
          <w:tcPr>
            <w:tcW w:w="992" w:type="dxa"/>
          </w:tcPr>
          <w:p w:rsidR="009A3110" w:rsidRPr="003E7106" w:rsidRDefault="009A3110" w:rsidP="007C56CE">
            <w:pPr>
              <w:pStyle w:val="TableText"/>
              <w:spacing w:line="240" w:lineRule="auto"/>
              <w:jc w:val="center"/>
            </w:pPr>
            <w:r w:rsidRPr="003E7106">
              <w:t>3</w:t>
            </w:r>
          </w:p>
        </w:tc>
        <w:tc>
          <w:tcPr>
            <w:tcW w:w="993" w:type="dxa"/>
          </w:tcPr>
          <w:p w:rsidR="009A3110" w:rsidRPr="003E7106" w:rsidRDefault="009A3110" w:rsidP="007C56CE">
            <w:pPr>
              <w:pStyle w:val="TableText"/>
              <w:spacing w:line="240" w:lineRule="auto"/>
              <w:jc w:val="center"/>
            </w:pPr>
            <w:r w:rsidRPr="003E7106">
              <w:t>5</w:t>
            </w:r>
          </w:p>
        </w:tc>
      </w:tr>
      <w:tr w:rsidR="009A3110" w:rsidRPr="003E7106" w:rsidTr="00E27E97">
        <w:trPr>
          <w:cantSplit/>
        </w:trPr>
        <w:tc>
          <w:tcPr>
            <w:tcW w:w="3261" w:type="dxa"/>
            <w:vMerge/>
            <w:shd w:val="clear" w:color="auto" w:fill="B8CCE4"/>
          </w:tcPr>
          <w:p w:rsidR="009A3110" w:rsidRPr="003E7106" w:rsidRDefault="009A3110" w:rsidP="007C56CE">
            <w:pPr>
              <w:pStyle w:val="TableText"/>
              <w:spacing w:line="240" w:lineRule="auto"/>
            </w:pPr>
          </w:p>
        </w:tc>
        <w:tc>
          <w:tcPr>
            <w:tcW w:w="9355" w:type="dxa"/>
          </w:tcPr>
          <w:p w:rsidR="009A3110" w:rsidRPr="003E7106" w:rsidRDefault="009A3110" w:rsidP="007C56CE">
            <w:pPr>
              <w:pStyle w:val="TableText"/>
              <w:spacing w:before="0" w:line="240" w:lineRule="auto"/>
              <w:ind w:left="709" w:hanging="709"/>
              <w:rPr>
                <w:rFonts w:cs="Arial"/>
              </w:rPr>
            </w:pPr>
            <w:r w:rsidRPr="003E7106">
              <w:rPr>
                <w:rFonts w:cs="Arial"/>
              </w:rPr>
              <w:t>28547</w:t>
            </w:r>
            <w:r w:rsidRPr="003E7106">
              <w:rPr>
                <w:rFonts w:cs="Arial"/>
              </w:rPr>
              <w:tab/>
              <w:t>Support a person with diabetes in a health or wellbeing setting</w:t>
            </w:r>
          </w:p>
        </w:tc>
        <w:tc>
          <w:tcPr>
            <w:tcW w:w="992" w:type="dxa"/>
          </w:tcPr>
          <w:p w:rsidR="009A3110" w:rsidRPr="003E7106" w:rsidRDefault="009A3110" w:rsidP="007C56CE">
            <w:pPr>
              <w:pStyle w:val="TableText"/>
              <w:spacing w:before="0" w:line="240" w:lineRule="auto"/>
              <w:jc w:val="center"/>
            </w:pPr>
            <w:r w:rsidRPr="003E7106">
              <w:t>3</w:t>
            </w:r>
          </w:p>
        </w:tc>
        <w:tc>
          <w:tcPr>
            <w:tcW w:w="993" w:type="dxa"/>
          </w:tcPr>
          <w:p w:rsidR="009A3110" w:rsidRPr="003E7106" w:rsidRDefault="009A3110" w:rsidP="007C56CE">
            <w:pPr>
              <w:pStyle w:val="TableText"/>
              <w:spacing w:before="0" w:line="240" w:lineRule="auto"/>
              <w:jc w:val="center"/>
            </w:pPr>
            <w:r w:rsidRPr="003E7106">
              <w:t>3</w:t>
            </w:r>
          </w:p>
        </w:tc>
      </w:tr>
      <w:tr w:rsidR="009A3110" w:rsidRPr="003E7106" w:rsidTr="00E27E97">
        <w:trPr>
          <w:cantSplit/>
        </w:trPr>
        <w:tc>
          <w:tcPr>
            <w:tcW w:w="3261" w:type="dxa"/>
            <w:vMerge/>
            <w:shd w:val="clear" w:color="auto" w:fill="B8CCE4"/>
          </w:tcPr>
          <w:p w:rsidR="009A3110" w:rsidRPr="003E7106" w:rsidRDefault="009A3110" w:rsidP="007C56CE">
            <w:pPr>
              <w:pStyle w:val="TableText"/>
              <w:spacing w:line="240" w:lineRule="auto"/>
            </w:pPr>
          </w:p>
        </w:tc>
        <w:tc>
          <w:tcPr>
            <w:tcW w:w="9355" w:type="dxa"/>
          </w:tcPr>
          <w:p w:rsidR="009A3110" w:rsidRPr="003E7106" w:rsidRDefault="009A3110" w:rsidP="007C56CE">
            <w:pPr>
              <w:pStyle w:val="TableText"/>
              <w:spacing w:before="0" w:line="240" w:lineRule="auto"/>
              <w:ind w:left="709" w:hanging="709"/>
              <w:rPr>
                <w:rFonts w:cs="Arial"/>
              </w:rPr>
            </w:pPr>
            <w:r w:rsidRPr="003E7106">
              <w:rPr>
                <w:rFonts w:cs="Arial"/>
              </w:rPr>
              <w:t>28550</w:t>
            </w:r>
            <w:r w:rsidRPr="003E7106">
              <w:rPr>
                <w:rFonts w:cs="Arial"/>
              </w:rPr>
              <w:tab/>
              <w:t>Support a person with chronic obstructive pulmonary disease (COPD) in a health or wellbeing setting</w:t>
            </w:r>
          </w:p>
        </w:tc>
        <w:tc>
          <w:tcPr>
            <w:tcW w:w="992" w:type="dxa"/>
          </w:tcPr>
          <w:p w:rsidR="009A3110" w:rsidRPr="003E7106" w:rsidRDefault="009A3110" w:rsidP="007C56CE">
            <w:pPr>
              <w:pStyle w:val="TableText"/>
              <w:spacing w:before="0" w:line="240" w:lineRule="auto"/>
              <w:jc w:val="center"/>
            </w:pPr>
            <w:r w:rsidRPr="003E7106">
              <w:t>3</w:t>
            </w:r>
          </w:p>
        </w:tc>
        <w:tc>
          <w:tcPr>
            <w:tcW w:w="993" w:type="dxa"/>
          </w:tcPr>
          <w:p w:rsidR="009A3110" w:rsidRPr="003E7106" w:rsidRDefault="009A3110" w:rsidP="007C56CE">
            <w:pPr>
              <w:pStyle w:val="TableText"/>
              <w:spacing w:before="0" w:line="240" w:lineRule="auto"/>
              <w:jc w:val="center"/>
            </w:pPr>
            <w:r w:rsidRPr="003E7106">
              <w:t>3</w:t>
            </w:r>
          </w:p>
        </w:tc>
      </w:tr>
      <w:tr w:rsidR="009A3110" w:rsidRPr="003E7106" w:rsidTr="00E27E97">
        <w:trPr>
          <w:cantSplit/>
        </w:trPr>
        <w:tc>
          <w:tcPr>
            <w:tcW w:w="3261" w:type="dxa"/>
            <w:vMerge/>
            <w:shd w:val="clear" w:color="auto" w:fill="B8CCE4"/>
          </w:tcPr>
          <w:p w:rsidR="009A3110" w:rsidRPr="003E7106" w:rsidRDefault="009A3110" w:rsidP="007C56CE">
            <w:pPr>
              <w:pStyle w:val="TableText"/>
              <w:spacing w:line="240" w:lineRule="auto"/>
            </w:pPr>
          </w:p>
        </w:tc>
        <w:tc>
          <w:tcPr>
            <w:tcW w:w="9355" w:type="dxa"/>
          </w:tcPr>
          <w:p w:rsidR="009A3110" w:rsidRPr="003E7106" w:rsidRDefault="009A3110" w:rsidP="007C56CE">
            <w:pPr>
              <w:pStyle w:val="TableText"/>
              <w:spacing w:before="0" w:line="240" w:lineRule="auto"/>
              <w:ind w:left="709" w:hanging="709"/>
              <w:rPr>
                <w:rFonts w:cs="Arial"/>
              </w:rPr>
            </w:pPr>
            <w:r w:rsidRPr="003E7106">
              <w:rPr>
                <w:rFonts w:cs="Arial"/>
              </w:rPr>
              <w:t>28557</w:t>
            </w:r>
            <w:r w:rsidRPr="003E7106">
              <w:rPr>
                <w:rFonts w:cs="Arial"/>
              </w:rPr>
              <w:tab/>
              <w:t xml:space="preserve">Communicate to support people’s health and wellbeing </w:t>
            </w:r>
          </w:p>
        </w:tc>
        <w:tc>
          <w:tcPr>
            <w:tcW w:w="992" w:type="dxa"/>
          </w:tcPr>
          <w:p w:rsidR="009A3110" w:rsidRPr="003E7106" w:rsidRDefault="009A3110" w:rsidP="007C56CE">
            <w:pPr>
              <w:pStyle w:val="TableText"/>
              <w:spacing w:before="0" w:line="240" w:lineRule="auto"/>
              <w:jc w:val="center"/>
            </w:pPr>
            <w:r w:rsidRPr="003E7106">
              <w:t>3</w:t>
            </w:r>
          </w:p>
        </w:tc>
        <w:tc>
          <w:tcPr>
            <w:tcW w:w="993" w:type="dxa"/>
          </w:tcPr>
          <w:p w:rsidR="009A3110" w:rsidRPr="003E7106" w:rsidRDefault="009A3110" w:rsidP="007C56CE">
            <w:pPr>
              <w:pStyle w:val="TableText"/>
              <w:spacing w:before="0" w:line="240" w:lineRule="auto"/>
              <w:jc w:val="center"/>
            </w:pPr>
            <w:r w:rsidRPr="003E7106">
              <w:t>5</w:t>
            </w:r>
          </w:p>
        </w:tc>
      </w:tr>
      <w:tr w:rsidR="009A3110" w:rsidRPr="003E7106" w:rsidTr="00E27E97">
        <w:trPr>
          <w:cantSplit/>
        </w:trPr>
        <w:tc>
          <w:tcPr>
            <w:tcW w:w="3261" w:type="dxa"/>
            <w:vMerge/>
            <w:shd w:val="clear" w:color="auto" w:fill="B8CCE4"/>
          </w:tcPr>
          <w:p w:rsidR="009A3110" w:rsidRPr="003E7106" w:rsidRDefault="009A3110" w:rsidP="007C56CE">
            <w:pPr>
              <w:pStyle w:val="TableText"/>
              <w:spacing w:line="240" w:lineRule="auto"/>
            </w:pPr>
          </w:p>
        </w:tc>
        <w:tc>
          <w:tcPr>
            <w:tcW w:w="9355" w:type="dxa"/>
          </w:tcPr>
          <w:p w:rsidR="009A3110" w:rsidRPr="003E7106" w:rsidRDefault="009A3110" w:rsidP="007C56CE">
            <w:pPr>
              <w:pStyle w:val="TableText"/>
              <w:spacing w:before="0" w:line="240" w:lineRule="auto"/>
              <w:ind w:left="709" w:hanging="709"/>
              <w:rPr>
                <w:rFonts w:cs="Arial"/>
              </w:rPr>
            </w:pPr>
            <w:r w:rsidRPr="003E7106">
              <w:rPr>
                <w:rFonts w:cs="Arial"/>
              </w:rPr>
              <w:t>28563</w:t>
            </w:r>
            <w:r w:rsidRPr="003E7106">
              <w:rPr>
                <w:rFonts w:cs="Arial"/>
              </w:rPr>
              <w:tab/>
              <w:t xml:space="preserve">Provide person-centred care when supporting a person with early-stage dementia </w:t>
            </w:r>
          </w:p>
        </w:tc>
        <w:tc>
          <w:tcPr>
            <w:tcW w:w="992" w:type="dxa"/>
          </w:tcPr>
          <w:p w:rsidR="009A3110" w:rsidRPr="003E7106" w:rsidRDefault="009A3110" w:rsidP="007C56CE">
            <w:pPr>
              <w:pStyle w:val="TableText"/>
              <w:spacing w:before="0" w:line="240" w:lineRule="auto"/>
              <w:jc w:val="center"/>
            </w:pPr>
            <w:r w:rsidRPr="003E7106">
              <w:t>3</w:t>
            </w:r>
          </w:p>
        </w:tc>
        <w:tc>
          <w:tcPr>
            <w:tcW w:w="993" w:type="dxa"/>
          </w:tcPr>
          <w:p w:rsidR="009A3110" w:rsidRPr="003E7106" w:rsidRDefault="009A3110" w:rsidP="007C56CE">
            <w:pPr>
              <w:pStyle w:val="TableText"/>
              <w:spacing w:before="0" w:line="240" w:lineRule="auto"/>
              <w:jc w:val="center"/>
            </w:pPr>
            <w:r w:rsidRPr="003E7106">
              <w:t>8</w:t>
            </w:r>
          </w:p>
        </w:tc>
      </w:tr>
      <w:tr w:rsidR="009A3110" w:rsidRPr="003E7106" w:rsidTr="00E27E97">
        <w:trPr>
          <w:cantSplit/>
        </w:trPr>
        <w:tc>
          <w:tcPr>
            <w:tcW w:w="3261" w:type="dxa"/>
            <w:vMerge/>
            <w:shd w:val="clear" w:color="auto" w:fill="B8CCE4"/>
          </w:tcPr>
          <w:p w:rsidR="009A3110" w:rsidRPr="003E7106" w:rsidRDefault="009A3110" w:rsidP="007C56CE">
            <w:pPr>
              <w:pStyle w:val="TableText"/>
              <w:spacing w:line="240" w:lineRule="auto"/>
            </w:pPr>
          </w:p>
        </w:tc>
        <w:tc>
          <w:tcPr>
            <w:tcW w:w="9355" w:type="dxa"/>
          </w:tcPr>
          <w:p w:rsidR="009A3110" w:rsidRPr="003E7106" w:rsidRDefault="009A3110" w:rsidP="007C56CE">
            <w:pPr>
              <w:pStyle w:val="TableText"/>
              <w:spacing w:before="0" w:line="240" w:lineRule="auto"/>
              <w:ind w:left="709" w:hanging="709"/>
              <w:rPr>
                <w:rFonts w:cs="Arial"/>
              </w:rPr>
            </w:pPr>
            <w:r w:rsidRPr="003E7106">
              <w:rPr>
                <w:rFonts w:cs="Arial"/>
              </w:rPr>
              <w:t>28737</w:t>
            </w:r>
            <w:r w:rsidRPr="003E7106">
              <w:rPr>
                <w:rFonts w:cs="Arial"/>
              </w:rPr>
              <w:tab/>
              <w:t xml:space="preserve">Demonstrate knowledge of pressure injuries and pressure care </w:t>
            </w:r>
          </w:p>
        </w:tc>
        <w:tc>
          <w:tcPr>
            <w:tcW w:w="992" w:type="dxa"/>
          </w:tcPr>
          <w:p w:rsidR="009A3110" w:rsidRPr="003E7106" w:rsidRDefault="009A3110" w:rsidP="007C56CE">
            <w:pPr>
              <w:pStyle w:val="TableText"/>
              <w:spacing w:before="0" w:line="240" w:lineRule="auto"/>
              <w:jc w:val="center"/>
            </w:pPr>
            <w:r w:rsidRPr="003E7106">
              <w:t>3</w:t>
            </w:r>
          </w:p>
        </w:tc>
        <w:tc>
          <w:tcPr>
            <w:tcW w:w="993" w:type="dxa"/>
          </w:tcPr>
          <w:p w:rsidR="009A3110" w:rsidRPr="003E7106" w:rsidRDefault="009A3110" w:rsidP="007C56CE">
            <w:pPr>
              <w:pStyle w:val="TableText"/>
              <w:spacing w:before="0" w:line="240" w:lineRule="auto"/>
              <w:jc w:val="center"/>
            </w:pPr>
            <w:r w:rsidRPr="003E7106">
              <w:t>4</w:t>
            </w:r>
          </w:p>
        </w:tc>
      </w:tr>
      <w:tr w:rsidR="009A3110" w:rsidRPr="003E7106" w:rsidTr="00E27E97">
        <w:trPr>
          <w:cantSplit/>
        </w:trPr>
        <w:tc>
          <w:tcPr>
            <w:tcW w:w="3261" w:type="dxa"/>
            <w:vMerge/>
            <w:shd w:val="clear" w:color="auto" w:fill="B8CCE4"/>
          </w:tcPr>
          <w:p w:rsidR="009A3110" w:rsidRPr="003E7106" w:rsidRDefault="009A3110" w:rsidP="007C56CE">
            <w:pPr>
              <w:pStyle w:val="TableText"/>
              <w:spacing w:line="240" w:lineRule="auto"/>
            </w:pPr>
          </w:p>
        </w:tc>
        <w:tc>
          <w:tcPr>
            <w:tcW w:w="9355" w:type="dxa"/>
          </w:tcPr>
          <w:p w:rsidR="009A3110" w:rsidRPr="003E7106" w:rsidRDefault="009A3110" w:rsidP="007C56CE">
            <w:pPr>
              <w:pStyle w:val="TableText"/>
              <w:spacing w:before="0" w:line="240" w:lineRule="auto"/>
              <w:ind w:left="709" w:hanging="709"/>
              <w:rPr>
                <w:rFonts w:cs="Arial"/>
              </w:rPr>
            </w:pPr>
            <w:r w:rsidRPr="003E7106">
              <w:rPr>
                <w:rFonts w:cs="Arial"/>
              </w:rPr>
              <w:t>28738</w:t>
            </w:r>
            <w:r w:rsidRPr="003E7106">
              <w:rPr>
                <w:rFonts w:cs="Arial"/>
              </w:rPr>
              <w:tab/>
              <w:t>Describe the key principles of palliative care and a Support Worker’s role in a palliative approach to care</w:t>
            </w:r>
          </w:p>
        </w:tc>
        <w:tc>
          <w:tcPr>
            <w:tcW w:w="992" w:type="dxa"/>
          </w:tcPr>
          <w:p w:rsidR="009A3110" w:rsidRPr="003E7106" w:rsidRDefault="009A3110" w:rsidP="007C56CE">
            <w:pPr>
              <w:pStyle w:val="TableText"/>
              <w:spacing w:before="0" w:line="240" w:lineRule="auto"/>
              <w:jc w:val="center"/>
            </w:pPr>
            <w:r w:rsidRPr="003E7106">
              <w:t>3</w:t>
            </w:r>
          </w:p>
        </w:tc>
        <w:tc>
          <w:tcPr>
            <w:tcW w:w="993" w:type="dxa"/>
          </w:tcPr>
          <w:p w:rsidR="009A3110" w:rsidRPr="003E7106" w:rsidRDefault="009A3110" w:rsidP="007C56CE">
            <w:pPr>
              <w:pStyle w:val="TableText"/>
              <w:spacing w:before="0" w:line="240" w:lineRule="auto"/>
              <w:jc w:val="center"/>
            </w:pPr>
            <w:r w:rsidRPr="003E7106">
              <w:t>3</w:t>
            </w:r>
          </w:p>
        </w:tc>
      </w:tr>
      <w:tr w:rsidR="00254978" w:rsidRPr="003E7106" w:rsidTr="00254978">
        <w:trPr>
          <w:cantSplit/>
        </w:trPr>
        <w:tc>
          <w:tcPr>
            <w:tcW w:w="3261" w:type="dxa"/>
            <w:vMerge w:val="restart"/>
            <w:shd w:val="clear" w:color="auto" w:fill="B8CCE4"/>
          </w:tcPr>
          <w:p w:rsidR="00254978" w:rsidRPr="003E7106" w:rsidRDefault="00254978" w:rsidP="007C56CE">
            <w:pPr>
              <w:pStyle w:val="TableText"/>
              <w:spacing w:line="240" w:lineRule="auto"/>
              <w:ind w:left="425" w:hanging="425"/>
            </w:pPr>
            <w:r w:rsidRPr="003E7106">
              <w:t>4.</w:t>
            </w:r>
            <w:r w:rsidRPr="003E7106">
              <w:tab/>
              <w:t>Recognise and respond to change</w:t>
            </w:r>
          </w:p>
        </w:tc>
        <w:tc>
          <w:tcPr>
            <w:tcW w:w="11340" w:type="dxa"/>
            <w:gridSpan w:val="3"/>
            <w:shd w:val="clear" w:color="auto" w:fill="DBE5F1"/>
          </w:tcPr>
          <w:p w:rsidR="00254978" w:rsidRPr="003E7106" w:rsidRDefault="00254978" w:rsidP="007C56CE">
            <w:pPr>
              <w:pStyle w:val="TableText"/>
              <w:spacing w:line="240" w:lineRule="auto"/>
              <w:rPr>
                <w:b/>
              </w:rPr>
            </w:pPr>
            <w:r w:rsidRPr="003E7106">
              <w:rPr>
                <w:rFonts w:cs="Arial"/>
                <w:b/>
              </w:rPr>
              <w:t>Compulsory:</w:t>
            </w:r>
          </w:p>
        </w:tc>
      </w:tr>
      <w:tr w:rsidR="00254978" w:rsidRPr="003E7106" w:rsidTr="00254978">
        <w:trPr>
          <w:cantSplit/>
        </w:trPr>
        <w:tc>
          <w:tcPr>
            <w:tcW w:w="3261" w:type="dxa"/>
            <w:vMerge/>
            <w:shd w:val="clear" w:color="auto" w:fill="B8CCE4"/>
          </w:tcPr>
          <w:p w:rsidR="00254978" w:rsidRPr="003E7106" w:rsidRDefault="00254978" w:rsidP="007C56CE">
            <w:pPr>
              <w:pStyle w:val="TableText"/>
              <w:spacing w:line="240" w:lineRule="auto"/>
              <w:ind w:left="425" w:hanging="425"/>
            </w:pPr>
          </w:p>
        </w:tc>
        <w:tc>
          <w:tcPr>
            <w:tcW w:w="9355" w:type="dxa"/>
          </w:tcPr>
          <w:p w:rsidR="00254978" w:rsidRPr="003E7106" w:rsidRDefault="00254978" w:rsidP="007C56CE">
            <w:pPr>
              <w:pStyle w:val="TableText"/>
              <w:spacing w:line="240" w:lineRule="auto"/>
              <w:ind w:left="709" w:hanging="709"/>
              <w:rPr>
                <w:rFonts w:cs="Arial"/>
              </w:rPr>
            </w:pPr>
            <w:r w:rsidRPr="003E7106">
              <w:rPr>
                <w:rFonts w:cs="Arial"/>
              </w:rPr>
              <w:t>27459</w:t>
            </w:r>
            <w:r w:rsidRPr="003E7106">
              <w:rPr>
                <w:rFonts w:cs="Arial"/>
              </w:rPr>
              <w:tab/>
              <w:t>Observe and respond to changes in people in a health or wellbeing setting</w:t>
            </w:r>
          </w:p>
        </w:tc>
        <w:tc>
          <w:tcPr>
            <w:tcW w:w="992" w:type="dxa"/>
          </w:tcPr>
          <w:p w:rsidR="00254978" w:rsidRPr="003E7106" w:rsidRDefault="00254978" w:rsidP="007C56CE">
            <w:pPr>
              <w:pStyle w:val="TableText"/>
              <w:spacing w:line="240" w:lineRule="auto"/>
              <w:jc w:val="center"/>
            </w:pPr>
            <w:r w:rsidRPr="003E7106">
              <w:t>3</w:t>
            </w:r>
          </w:p>
        </w:tc>
        <w:tc>
          <w:tcPr>
            <w:tcW w:w="993" w:type="dxa"/>
          </w:tcPr>
          <w:p w:rsidR="00254978" w:rsidRPr="003E7106" w:rsidRDefault="00254978" w:rsidP="007C56CE">
            <w:pPr>
              <w:pStyle w:val="TableText"/>
              <w:spacing w:line="240" w:lineRule="auto"/>
              <w:jc w:val="center"/>
            </w:pPr>
            <w:r w:rsidRPr="003E7106">
              <w:t>4</w:t>
            </w:r>
          </w:p>
        </w:tc>
      </w:tr>
    </w:tbl>
    <w:p w:rsidR="00863117" w:rsidRPr="003E7106" w:rsidRDefault="00863117" w:rsidP="00D4133E">
      <w:pPr>
        <w:spacing w:line="240" w:lineRule="auto"/>
      </w:pPr>
    </w:p>
    <w:sectPr w:rsidR="00863117" w:rsidRPr="003E7106" w:rsidSect="006011A5">
      <w:type w:val="continuous"/>
      <w:pgSz w:w="16834" w:h="11907" w:orient="landscape" w:code="9"/>
      <w:pgMar w:top="1134" w:right="1134" w:bottom="1134" w:left="1134" w:header="425" w:footer="425"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E1D" w:rsidRDefault="00251E1D">
      <w:pPr>
        <w:spacing w:line="240" w:lineRule="auto"/>
      </w:pPr>
      <w:r>
        <w:separator/>
      </w:r>
    </w:p>
  </w:endnote>
  <w:endnote w:type="continuationSeparator" w:id="0">
    <w:p w:rsidR="00251E1D" w:rsidRDefault="00251E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704" w:rsidRPr="003648EF" w:rsidRDefault="00FC6704" w:rsidP="003648EF">
    <w:pPr>
      <w:pStyle w:val="Footer"/>
      <w:pBdr>
        <w:bottom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704" w:rsidRDefault="00FC6704" w:rsidP="00680675">
    <w:pPr>
      <w:jc w:val="center"/>
    </w:pPr>
    <w:r>
      <w:rPr>
        <w:rStyle w:val="PageNumber"/>
      </w:rPr>
      <w:fldChar w:fldCharType="begin"/>
    </w:r>
    <w:r>
      <w:rPr>
        <w:rStyle w:val="PageNumber"/>
      </w:rPr>
      <w:instrText xml:space="preserve"> PAGE </w:instrText>
    </w:r>
    <w:r>
      <w:rPr>
        <w:rStyle w:val="PageNumber"/>
      </w:rPr>
      <w:fldChar w:fldCharType="separate"/>
    </w:r>
    <w:r w:rsidR="00B454DC">
      <w:rPr>
        <w:rStyle w:val="PageNumber"/>
        <w:noProof/>
      </w:rPr>
      <w:t>39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E1D" w:rsidRPr="00E460B6" w:rsidRDefault="00251E1D" w:rsidP="007B4D3E">
      <w:r>
        <w:separator/>
      </w:r>
    </w:p>
  </w:footnote>
  <w:footnote w:type="continuationSeparator" w:id="0">
    <w:p w:rsidR="00251E1D" w:rsidRDefault="00251E1D">
      <w:pPr>
        <w:spacing w:line="240" w:lineRule="auto"/>
      </w:pPr>
      <w:r>
        <w:continuationSeparator/>
      </w:r>
    </w:p>
  </w:footnote>
  <w:footnote w:id="1">
    <w:p w:rsidR="00FC6704" w:rsidRPr="00AC6646" w:rsidRDefault="00FC6704" w:rsidP="000A6DB7">
      <w:pPr>
        <w:pStyle w:val="FootnoteText"/>
      </w:pPr>
      <w:r w:rsidRPr="000A6DB7">
        <w:rPr>
          <w:rStyle w:val="FootnoteReference"/>
        </w:rPr>
        <w:footnoteRef/>
      </w:r>
      <w:r>
        <w:tab/>
      </w:r>
      <w:r w:rsidRPr="00AC6646">
        <w:t>Ministry of Heal</w:t>
      </w:r>
      <w:r>
        <w:t>t</w:t>
      </w:r>
      <w:r w:rsidRPr="00AD2AFB">
        <w:t xml:space="preserve">h. </w:t>
      </w:r>
      <w:r w:rsidRPr="00AC6646">
        <w:t xml:space="preserve">2014. </w:t>
      </w:r>
      <w:r w:rsidRPr="00AD2AFB">
        <w:rPr>
          <w:i/>
        </w:rPr>
        <w:t>Final Settlement Agreement: In-between travel</w:t>
      </w:r>
      <w:r w:rsidRPr="00AC6646">
        <w:t xml:space="preserve">. </w:t>
      </w:r>
      <w:r>
        <w:t xml:space="preserve">Wellington: </w:t>
      </w:r>
      <w:r w:rsidRPr="00AC6646">
        <w:t>Ministry of Health</w:t>
      </w:r>
      <w:r>
        <w:t>.</w:t>
      </w:r>
    </w:p>
  </w:footnote>
  <w:footnote w:id="2">
    <w:p w:rsidR="00FC6704" w:rsidRPr="006F43EA" w:rsidRDefault="00FC6704" w:rsidP="000A6DB7">
      <w:pPr>
        <w:pStyle w:val="FootnoteText"/>
      </w:pPr>
      <w:r w:rsidRPr="000A6DB7">
        <w:rPr>
          <w:rStyle w:val="FootnoteReference"/>
        </w:rPr>
        <w:footnoteRef/>
      </w:r>
      <w:r>
        <w:tab/>
      </w:r>
      <w:r w:rsidRPr="00AC6646">
        <w:t>Ibid p.30</w:t>
      </w:r>
      <w:r>
        <w:t>.</w:t>
      </w:r>
    </w:p>
  </w:footnote>
  <w:footnote w:id="3">
    <w:p w:rsidR="00FC6704" w:rsidRDefault="00FC6704" w:rsidP="00611E83">
      <w:pPr>
        <w:pStyle w:val="FootnoteText"/>
      </w:pPr>
      <w:r w:rsidRPr="00611E83">
        <w:rPr>
          <w:rStyle w:val="FootnoteReference"/>
        </w:rPr>
        <w:footnoteRef/>
      </w:r>
      <w:r>
        <w:tab/>
      </w:r>
      <w:r w:rsidRPr="004302B1">
        <w:t>health.nz/Site/Health-of-Older-People-/HBSS-Template.aspx</w:t>
      </w:r>
      <w:r>
        <w:t>, accessed 12 June 2015.</w:t>
      </w:r>
    </w:p>
  </w:footnote>
  <w:footnote w:id="4">
    <w:p w:rsidR="00FC6704" w:rsidRPr="00CA0254" w:rsidRDefault="00FC6704" w:rsidP="00FD2E53">
      <w:pPr>
        <w:pStyle w:val="FootnoteText"/>
      </w:pPr>
      <w:r w:rsidRPr="00FD2E53">
        <w:rPr>
          <w:rStyle w:val="FootnoteReference"/>
        </w:rPr>
        <w:footnoteRef/>
      </w:r>
      <w:r>
        <w:tab/>
        <w:t>Deloitte, Touche Tohmatsu Limited. 2015.</w:t>
      </w:r>
      <w:r>
        <w:rPr>
          <w:i/>
        </w:rPr>
        <w:t xml:space="preserve"> Financial Review &amp; Risk Analysis of the Home and Community Support Sector</w:t>
      </w:r>
      <w:r>
        <w:t>. Commissioned by the Home and Community Health Association.</w:t>
      </w:r>
    </w:p>
  </w:footnote>
  <w:footnote w:id="5">
    <w:p w:rsidR="00FC6704" w:rsidRPr="00D2502C" w:rsidRDefault="00FC6704" w:rsidP="00FD2E53">
      <w:pPr>
        <w:pStyle w:val="FootnoteText"/>
      </w:pPr>
      <w:r w:rsidRPr="00FD2E53">
        <w:rPr>
          <w:rStyle w:val="FootnoteReference"/>
        </w:rPr>
        <w:footnoteRef/>
      </w:r>
      <w:r>
        <w:tab/>
        <w:t>CL</w:t>
      </w:r>
      <w:r w:rsidRPr="00D2502C">
        <w:t xml:space="preserve"> Stacey</w:t>
      </w:r>
      <w:r>
        <w:t>. 2011.</w:t>
      </w:r>
      <w:r w:rsidRPr="00D2502C">
        <w:rPr>
          <w:i/>
        </w:rPr>
        <w:t xml:space="preserve"> The Care Self- the Work Experiences of Home Care Aides</w:t>
      </w:r>
      <w:r>
        <w:t>.</w:t>
      </w:r>
      <w:r w:rsidRPr="00D2502C">
        <w:t xml:space="preserve"> </w:t>
      </w:r>
      <w:r>
        <w:t xml:space="preserve">Ithaca, NY: </w:t>
      </w:r>
      <w:r w:rsidRPr="00D2502C">
        <w:t>Cornell University Press.</w:t>
      </w:r>
    </w:p>
  </w:footnote>
  <w:footnote w:id="6">
    <w:p w:rsidR="00FC6704" w:rsidRPr="00D2502C" w:rsidRDefault="00FC6704" w:rsidP="00FD2E53">
      <w:pPr>
        <w:pStyle w:val="FootnoteText"/>
      </w:pPr>
      <w:r w:rsidRPr="00FD2E53">
        <w:rPr>
          <w:rStyle w:val="FootnoteReference"/>
        </w:rPr>
        <w:footnoteRef/>
      </w:r>
      <w:r>
        <w:tab/>
        <w:t>Ibid.</w:t>
      </w:r>
    </w:p>
  </w:footnote>
  <w:footnote w:id="7">
    <w:p w:rsidR="00FC6704" w:rsidRDefault="00FC6704" w:rsidP="00FD2E53">
      <w:pPr>
        <w:pStyle w:val="FootnoteText"/>
      </w:pPr>
      <w:r>
        <w:rPr>
          <w:rStyle w:val="FootnoteReference"/>
        </w:rPr>
        <w:footnoteRef/>
      </w:r>
      <w:r>
        <w:tab/>
      </w:r>
      <w:r w:rsidRPr="002C31BE">
        <w:t>Deloitte Touche Tohmatsu Limited</w:t>
      </w:r>
      <w:r>
        <w:t>. 2015.</w:t>
      </w:r>
      <w:r w:rsidRPr="002C31BE">
        <w:t xml:space="preserve"> </w:t>
      </w:r>
      <w:r w:rsidRPr="002C31BE">
        <w:rPr>
          <w:i/>
        </w:rPr>
        <w:t>Financial Review &amp; Risk Analysis of the Home and Community Support Sector</w:t>
      </w:r>
      <w:r>
        <w:t>. Commissioned by Home and Community Health Association.</w:t>
      </w:r>
    </w:p>
  </w:footnote>
  <w:footnote w:id="8">
    <w:p w:rsidR="00FC6704" w:rsidRDefault="00FC6704" w:rsidP="00AE2835">
      <w:pPr>
        <w:pStyle w:val="FootnoteText"/>
      </w:pPr>
      <w:r w:rsidRPr="00EE0353">
        <w:rPr>
          <w:rStyle w:val="FootnoteReference"/>
        </w:rPr>
        <w:footnoteRef/>
      </w:r>
      <w:r>
        <w:tab/>
        <w:t>Deloitte, Touche Tohmatsu Limited. 2015.</w:t>
      </w:r>
      <w:r>
        <w:rPr>
          <w:i/>
        </w:rPr>
        <w:t xml:space="preserve"> Financial Review &amp; Risk Analysis of the Home and Community Support </w:t>
      </w:r>
      <w:r w:rsidRPr="00C65C22">
        <w:rPr>
          <w:i/>
        </w:rPr>
        <w:t>Sector</w:t>
      </w:r>
      <w:r w:rsidRPr="00A050A4">
        <w:t>. Commissioned by Home and Community Health Association</w:t>
      </w:r>
      <w:r>
        <w:t>.</w:t>
      </w:r>
    </w:p>
  </w:footnote>
  <w:footnote w:id="9">
    <w:p w:rsidR="00FC6704" w:rsidRDefault="00FC6704" w:rsidP="00001A97">
      <w:pPr>
        <w:pStyle w:val="FootnoteText"/>
      </w:pPr>
      <w:r w:rsidRPr="00001A97">
        <w:rPr>
          <w:rStyle w:val="FootnoteReference"/>
        </w:rPr>
        <w:footnoteRef/>
      </w:r>
      <w:r>
        <w:tab/>
      </w:r>
      <w:r w:rsidRPr="00460093">
        <w:t>The New Zealand Certificate in Health and Wellbeing qualification framework replace</w:t>
      </w:r>
      <w:r>
        <w:t>d</w:t>
      </w:r>
      <w:r w:rsidRPr="00460093">
        <w:t xml:space="preserve"> the National Certificate in Health, Disability, and Aged Support qualification frame</w:t>
      </w:r>
      <w:r>
        <w:t>work.</w:t>
      </w:r>
    </w:p>
  </w:footnote>
  <w:footnote w:id="10">
    <w:p w:rsidR="00FC6704" w:rsidRDefault="00FC6704" w:rsidP="00001A97">
      <w:pPr>
        <w:pStyle w:val="FootnoteText"/>
      </w:pPr>
      <w:r w:rsidRPr="00001A97">
        <w:rPr>
          <w:rStyle w:val="FootnoteReference"/>
        </w:rPr>
        <w:footnoteRef/>
      </w:r>
      <w:r>
        <w:tab/>
      </w:r>
      <w:r w:rsidRPr="000555BB">
        <w:t>Currently under consultation with the sector and expected to be introduced in 2016</w:t>
      </w:r>
      <w:r>
        <w:t>.</w:t>
      </w:r>
    </w:p>
  </w:footnote>
  <w:footnote w:id="11">
    <w:p w:rsidR="00FC6704" w:rsidRPr="00115FF8" w:rsidRDefault="00FC6704" w:rsidP="00115FF8">
      <w:pPr>
        <w:pStyle w:val="FootnoteText"/>
      </w:pPr>
      <w:r w:rsidRPr="00115FF8">
        <w:rPr>
          <w:rStyle w:val="FootnoteReference"/>
        </w:rPr>
        <w:footnoteRef/>
      </w:r>
      <w:r>
        <w:tab/>
      </w:r>
      <w:r w:rsidRPr="00F04629">
        <w:t xml:space="preserve">Human Rights Commission. 2012. </w:t>
      </w:r>
      <w:r w:rsidRPr="00F04629">
        <w:rPr>
          <w:i/>
        </w:rPr>
        <w:t>Caring Counts</w:t>
      </w:r>
      <w:r>
        <w:t xml:space="preserve">: </w:t>
      </w:r>
      <w:r w:rsidRPr="00A050A4">
        <w:rPr>
          <w:i/>
        </w:rPr>
        <w:t>Tautiaki tika</w:t>
      </w:r>
      <w:r w:rsidRPr="00A050A4">
        <w:t>.</w:t>
      </w:r>
      <w:r>
        <w:t xml:space="preserve"> Human Rights Commission.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704" w:rsidRDefault="00FC6704" w:rsidP="003A26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4">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4"/>
  </w:num>
  <w:num w:numId="2">
    <w:abstractNumId w:val="3"/>
  </w:num>
  <w:num w:numId="3">
    <w:abstractNumId w:val="1"/>
  </w:num>
  <w:num w:numId="4">
    <w:abstractNumId w:val="2"/>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8EB"/>
    <w:rsid w:val="00001A97"/>
    <w:rsid w:val="00030B26"/>
    <w:rsid w:val="00053D1F"/>
    <w:rsid w:val="0006228D"/>
    <w:rsid w:val="00063F8A"/>
    <w:rsid w:val="00072BD6"/>
    <w:rsid w:val="00075B78"/>
    <w:rsid w:val="00082CD6"/>
    <w:rsid w:val="00085AFE"/>
    <w:rsid w:val="00086570"/>
    <w:rsid w:val="000A440E"/>
    <w:rsid w:val="000A6DB7"/>
    <w:rsid w:val="000B0730"/>
    <w:rsid w:val="000F2AE2"/>
    <w:rsid w:val="00102063"/>
    <w:rsid w:val="0010541C"/>
    <w:rsid w:val="00106F93"/>
    <w:rsid w:val="00111D50"/>
    <w:rsid w:val="00113B8E"/>
    <w:rsid w:val="00115FF8"/>
    <w:rsid w:val="001342C7"/>
    <w:rsid w:val="0013585C"/>
    <w:rsid w:val="00142954"/>
    <w:rsid w:val="001460E0"/>
    <w:rsid w:val="00147F71"/>
    <w:rsid w:val="00150A6E"/>
    <w:rsid w:val="0016468A"/>
    <w:rsid w:val="001810CE"/>
    <w:rsid w:val="001A5CF5"/>
    <w:rsid w:val="001B39D2"/>
    <w:rsid w:val="001C4326"/>
    <w:rsid w:val="001D3229"/>
    <w:rsid w:val="001D3541"/>
    <w:rsid w:val="001E32CE"/>
    <w:rsid w:val="00201A01"/>
    <w:rsid w:val="002104D3"/>
    <w:rsid w:val="00213A33"/>
    <w:rsid w:val="0021763B"/>
    <w:rsid w:val="00246DB1"/>
    <w:rsid w:val="002476B5"/>
    <w:rsid w:val="00251E1D"/>
    <w:rsid w:val="00253ECF"/>
    <w:rsid w:val="002546A1"/>
    <w:rsid w:val="00254978"/>
    <w:rsid w:val="00257109"/>
    <w:rsid w:val="00275D08"/>
    <w:rsid w:val="002858E3"/>
    <w:rsid w:val="0029190A"/>
    <w:rsid w:val="00292C5A"/>
    <w:rsid w:val="00295241"/>
    <w:rsid w:val="002B047D"/>
    <w:rsid w:val="002B24E8"/>
    <w:rsid w:val="002B732B"/>
    <w:rsid w:val="002C2219"/>
    <w:rsid w:val="002D0DF2"/>
    <w:rsid w:val="002D23BD"/>
    <w:rsid w:val="002E0B47"/>
    <w:rsid w:val="002F7213"/>
    <w:rsid w:val="0030382F"/>
    <w:rsid w:val="0030408D"/>
    <w:rsid w:val="003060E4"/>
    <w:rsid w:val="003160E7"/>
    <w:rsid w:val="0031739E"/>
    <w:rsid w:val="003325AB"/>
    <w:rsid w:val="0033412B"/>
    <w:rsid w:val="003421F5"/>
    <w:rsid w:val="00343365"/>
    <w:rsid w:val="00353501"/>
    <w:rsid w:val="0035662C"/>
    <w:rsid w:val="003606F8"/>
    <w:rsid w:val="003648EF"/>
    <w:rsid w:val="003673E6"/>
    <w:rsid w:val="00377264"/>
    <w:rsid w:val="003949C3"/>
    <w:rsid w:val="003A26A5"/>
    <w:rsid w:val="003A3761"/>
    <w:rsid w:val="003A5FEA"/>
    <w:rsid w:val="003B1D10"/>
    <w:rsid w:val="003C6AF7"/>
    <w:rsid w:val="003C76D4"/>
    <w:rsid w:val="003E7106"/>
    <w:rsid w:val="003E7C46"/>
    <w:rsid w:val="003F52A7"/>
    <w:rsid w:val="0040134F"/>
    <w:rsid w:val="0040240C"/>
    <w:rsid w:val="00413021"/>
    <w:rsid w:val="00430350"/>
    <w:rsid w:val="00440BE0"/>
    <w:rsid w:val="00442C1C"/>
    <w:rsid w:val="0044584B"/>
    <w:rsid w:val="00447CB7"/>
    <w:rsid w:val="00450C32"/>
    <w:rsid w:val="00450FC9"/>
    <w:rsid w:val="00460826"/>
    <w:rsid w:val="00460EA7"/>
    <w:rsid w:val="0046195B"/>
    <w:rsid w:val="0046596D"/>
    <w:rsid w:val="00486BCD"/>
    <w:rsid w:val="00487C04"/>
    <w:rsid w:val="004907E1"/>
    <w:rsid w:val="004A035B"/>
    <w:rsid w:val="004A0974"/>
    <w:rsid w:val="004A38D7"/>
    <w:rsid w:val="004A778C"/>
    <w:rsid w:val="004B31BC"/>
    <w:rsid w:val="004C2E6A"/>
    <w:rsid w:val="004C54E9"/>
    <w:rsid w:val="004D2A2D"/>
    <w:rsid w:val="004D6689"/>
    <w:rsid w:val="004E1D1D"/>
    <w:rsid w:val="004E7AC8"/>
    <w:rsid w:val="004F0C94"/>
    <w:rsid w:val="005019AE"/>
    <w:rsid w:val="00503749"/>
    <w:rsid w:val="00504CF4"/>
    <w:rsid w:val="0050635B"/>
    <w:rsid w:val="00522DBE"/>
    <w:rsid w:val="0053199F"/>
    <w:rsid w:val="00533B90"/>
    <w:rsid w:val="005410F8"/>
    <w:rsid w:val="005448EC"/>
    <w:rsid w:val="00545963"/>
    <w:rsid w:val="00550256"/>
    <w:rsid w:val="00553958"/>
    <w:rsid w:val="0055763D"/>
    <w:rsid w:val="005621F2"/>
    <w:rsid w:val="00565944"/>
    <w:rsid w:val="00567B58"/>
    <w:rsid w:val="005763E0"/>
    <w:rsid w:val="0058559F"/>
    <w:rsid w:val="005A27CA"/>
    <w:rsid w:val="005A43BD"/>
    <w:rsid w:val="005B04CA"/>
    <w:rsid w:val="005D1FFA"/>
    <w:rsid w:val="005E226E"/>
    <w:rsid w:val="005F1528"/>
    <w:rsid w:val="006011A5"/>
    <w:rsid w:val="006015D7"/>
    <w:rsid w:val="00601B21"/>
    <w:rsid w:val="00602320"/>
    <w:rsid w:val="00611E83"/>
    <w:rsid w:val="00626CF8"/>
    <w:rsid w:val="00636544"/>
    <w:rsid w:val="00636D7D"/>
    <w:rsid w:val="00637408"/>
    <w:rsid w:val="00642868"/>
    <w:rsid w:val="00647AFE"/>
    <w:rsid w:val="006512BC"/>
    <w:rsid w:val="00653A5A"/>
    <w:rsid w:val="006575F4"/>
    <w:rsid w:val="006579E6"/>
    <w:rsid w:val="00663EDC"/>
    <w:rsid w:val="00671078"/>
    <w:rsid w:val="00673AB8"/>
    <w:rsid w:val="00680675"/>
    <w:rsid w:val="00680A04"/>
    <w:rsid w:val="00686D80"/>
    <w:rsid w:val="00694895"/>
    <w:rsid w:val="006955FC"/>
    <w:rsid w:val="00697E2E"/>
    <w:rsid w:val="006A25A2"/>
    <w:rsid w:val="006A303A"/>
    <w:rsid w:val="006B0E73"/>
    <w:rsid w:val="006B4A4D"/>
    <w:rsid w:val="006B5695"/>
    <w:rsid w:val="006C4AE2"/>
    <w:rsid w:val="006C78EB"/>
    <w:rsid w:val="006D1660"/>
    <w:rsid w:val="006F1B67"/>
    <w:rsid w:val="0070091D"/>
    <w:rsid w:val="00702854"/>
    <w:rsid w:val="0071741C"/>
    <w:rsid w:val="00742B90"/>
    <w:rsid w:val="0074434D"/>
    <w:rsid w:val="00753281"/>
    <w:rsid w:val="00771B1E"/>
    <w:rsid w:val="00773C95"/>
    <w:rsid w:val="0078171E"/>
    <w:rsid w:val="00795B34"/>
    <w:rsid w:val="007B1770"/>
    <w:rsid w:val="007B4D3E"/>
    <w:rsid w:val="007B7C70"/>
    <w:rsid w:val="007C56CE"/>
    <w:rsid w:val="007D2151"/>
    <w:rsid w:val="007D42CC"/>
    <w:rsid w:val="007D5DE4"/>
    <w:rsid w:val="007E1341"/>
    <w:rsid w:val="007E1B41"/>
    <w:rsid w:val="007E30B9"/>
    <w:rsid w:val="007F0F0C"/>
    <w:rsid w:val="007F1288"/>
    <w:rsid w:val="00800A8A"/>
    <w:rsid w:val="0080155C"/>
    <w:rsid w:val="008052E1"/>
    <w:rsid w:val="0082259D"/>
    <w:rsid w:val="00822F2C"/>
    <w:rsid w:val="008305E8"/>
    <w:rsid w:val="00852294"/>
    <w:rsid w:val="00860826"/>
    <w:rsid w:val="00860E21"/>
    <w:rsid w:val="00863117"/>
    <w:rsid w:val="0086388B"/>
    <w:rsid w:val="008642E5"/>
    <w:rsid w:val="00872D93"/>
    <w:rsid w:val="00880470"/>
    <w:rsid w:val="00880D94"/>
    <w:rsid w:val="008924DE"/>
    <w:rsid w:val="008A3755"/>
    <w:rsid w:val="008B264F"/>
    <w:rsid w:val="008B6F83"/>
    <w:rsid w:val="008B7FD8"/>
    <w:rsid w:val="008C2973"/>
    <w:rsid w:val="008C64C4"/>
    <w:rsid w:val="008D74D5"/>
    <w:rsid w:val="008F29BE"/>
    <w:rsid w:val="008F4161"/>
    <w:rsid w:val="008F4AE5"/>
    <w:rsid w:val="008F51EB"/>
    <w:rsid w:val="0090009A"/>
    <w:rsid w:val="00900197"/>
    <w:rsid w:val="00902F55"/>
    <w:rsid w:val="00903A05"/>
    <w:rsid w:val="0090582B"/>
    <w:rsid w:val="009060C0"/>
    <w:rsid w:val="009133F5"/>
    <w:rsid w:val="00920A27"/>
    <w:rsid w:val="00921216"/>
    <w:rsid w:val="00932D69"/>
    <w:rsid w:val="00944647"/>
    <w:rsid w:val="00977B8A"/>
    <w:rsid w:val="0098207A"/>
    <w:rsid w:val="00982971"/>
    <w:rsid w:val="009845AD"/>
    <w:rsid w:val="00995BA0"/>
    <w:rsid w:val="009A3110"/>
    <w:rsid w:val="009A418B"/>
    <w:rsid w:val="009A4473"/>
    <w:rsid w:val="009B77D7"/>
    <w:rsid w:val="009C151C"/>
    <w:rsid w:val="009D5125"/>
    <w:rsid w:val="009D60B8"/>
    <w:rsid w:val="009D7D4B"/>
    <w:rsid w:val="009E36ED"/>
    <w:rsid w:val="009E6B77"/>
    <w:rsid w:val="009F460A"/>
    <w:rsid w:val="00A043FB"/>
    <w:rsid w:val="00A0729C"/>
    <w:rsid w:val="00A07779"/>
    <w:rsid w:val="00A170C8"/>
    <w:rsid w:val="00A20B2E"/>
    <w:rsid w:val="00A3068F"/>
    <w:rsid w:val="00A3145B"/>
    <w:rsid w:val="00A339D0"/>
    <w:rsid w:val="00A41002"/>
    <w:rsid w:val="00A4201A"/>
    <w:rsid w:val="00A553CE"/>
    <w:rsid w:val="00A5677A"/>
    <w:rsid w:val="00A6490D"/>
    <w:rsid w:val="00A7059B"/>
    <w:rsid w:val="00A80363"/>
    <w:rsid w:val="00A86689"/>
    <w:rsid w:val="00A9169D"/>
    <w:rsid w:val="00AC101C"/>
    <w:rsid w:val="00AC68E0"/>
    <w:rsid w:val="00AD4CF1"/>
    <w:rsid w:val="00AD5988"/>
    <w:rsid w:val="00AE2835"/>
    <w:rsid w:val="00AF7800"/>
    <w:rsid w:val="00B072E0"/>
    <w:rsid w:val="00B253F6"/>
    <w:rsid w:val="00B332F8"/>
    <w:rsid w:val="00B3492B"/>
    <w:rsid w:val="00B445E8"/>
    <w:rsid w:val="00B454DC"/>
    <w:rsid w:val="00B4646F"/>
    <w:rsid w:val="00B55C7D"/>
    <w:rsid w:val="00B63038"/>
    <w:rsid w:val="00B64BD8"/>
    <w:rsid w:val="00B701D1"/>
    <w:rsid w:val="00B73AF2"/>
    <w:rsid w:val="00B7551A"/>
    <w:rsid w:val="00BC59F1"/>
    <w:rsid w:val="00BF3DE1"/>
    <w:rsid w:val="00BF4843"/>
    <w:rsid w:val="00BF5205"/>
    <w:rsid w:val="00BF7621"/>
    <w:rsid w:val="00C10288"/>
    <w:rsid w:val="00C12508"/>
    <w:rsid w:val="00C45AA2"/>
    <w:rsid w:val="00C515BC"/>
    <w:rsid w:val="00C66296"/>
    <w:rsid w:val="00C77282"/>
    <w:rsid w:val="00C84DE5"/>
    <w:rsid w:val="00C86248"/>
    <w:rsid w:val="00CA4C33"/>
    <w:rsid w:val="00CA6F4A"/>
    <w:rsid w:val="00CB41F4"/>
    <w:rsid w:val="00CD2119"/>
    <w:rsid w:val="00CD36AC"/>
    <w:rsid w:val="00CE4EBE"/>
    <w:rsid w:val="00CF1747"/>
    <w:rsid w:val="00D02134"/>
    <w:rsid w:val="00D2392A"/>
    <w:rsid w:val="00D25FFE"/>
    <w:rsid w:val="00D4133E"/>
    <w:rsid w:val="00D4476F"/>
    <w:rsid w:val="00D54D50"/>
    <w:rsid w:val="00D66500"/>
    <w:rsid w:val="00D66797"/>
    <w:rsid w:val="00D7087C"/>
    <w:rsid w:val="00D70C3C"/>
    <w:rsid w:val="00D72BE5"/>
    <w:rsid w:val="00D82F26"/>
    <w:rsid w:val="00D863D0"/>
    <w:rsid w:val="00D87C87"/>
    <w:rsid w:val="00DB39CF"/>
    <w:rsid w:val="00DD40D1"/>
    <w:rsid w:val="00DD447A"/>
    <w:rsid w:val="00DE3B20"/>
    <w:rsid w:val="00DE6C94"/>
    <w:rsid w:val="00DE6FD7"/>
    <w:rsid w:val="00E23271"/>
    <w:rsid w:val="00E24F80"/>
    <w:rsid w:val="00E259F3"/>
    <w:rsid w:val="00E27E97"/>
    <w:rsid w:val="00E30C5B"/>
    <w:rsid w:val="00E33238"/>
    <w:rsid w:val="00E4486C"/>
    <w:rsid w:val="00E460B6"/>
    <w:rsid w:val="00E511D5"/>
    <w:rsid w:val="00E60249"/>
    <w:rsid w:val="00E65269"/>
    <w:rsid w:val="00E76D66"/>
    <w:rsid w:val="00EA57A3"/>
    <w:rsid w:val="00EA796A"/>
    <w:rsid w:val="00EB1856"/>
    <w:rsid w:val="00EC50CE"/>
    <w:rsid w:val="00EC5B34"/>
    <w:rsid w:val="00EE0353"/>
    <w:rsid w:val="00EE3532"/>
    <w:rsid w:val="00EE4ADE"/>
    <w:rsid w:val="00EE5CB7"/>
    <w:rsid w:val="00F024FE"/>
    <w:rsid w:val="00F05AD4"/>
    <w:rsid w:val="00F67496"/>
    <w:rsid w:val="00F801BA"/>
    <w:rsid w:val="00F946C9"/>
    <w:rsid w:val="00FA74EE"/>
    <w:rsid w:val="00FB6986"/>
    <w:rsid w:val="00FB790D"/>
    <w:rsid w:val="00FC46E7"/>
    <w:rsid w:val="00FC5D25"/>
    <w:rsid w:val="00FC6704"/>
    <w:rsid w:val="00FD0D7E"/>
    <w:rsid w:val="00FD2E53"/>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011A5"/>
    <w:pPr>
      <w:spacing w:line="264" w:lineRule="auto"/>
    </w:pPr>
    <w:rPr>
      <w:rFonts w:ascii="Arial" w:hAnsi="Arial"/>
      <w:sz w:val="18"/>
      <w:lang w:eastAsia="en-GB"/>
    </w:rPr>
  </w:style>
  <w:style w:type="paragraph" w:styleId="Heading1">
    <w:name w:val="heading 1"/>
    <w:basedOn w:val="Normal"/>
    <w:next w:val="Normal"/>
    <w:link w:val="Heading1Char"/>
    <w:uiPriority w:val="9"/>
    <w:qFormat/>
    <w:rsid w:val="000A6DB7"/>
    <w:pPr>
      <w:spacing w:after="120"/>
      <w:outlineLvl w:val="0"/>
    </w:pPr>
    <w:rPr>
      <w:b/>
      <w:color w:val="365F91"/>
      <w:sz w:val="28"/>
    </w:rPr>
  </w:style>
  <w:style w:type="paragraph" w:styleId="Heading2">
    <w:name w:val="heading 2"/>
    <w:basedOn w:val="Normal"/>
    <w:next w:val="Normal"/>
    <w:link w:val="Heading2Char"/>
    <w:uiPriority w:val="9"/>
    <w:qFormat/>
    <w:rsid w:val="00FC6704"/>
    <w:pPr>
      <w:spacing w:before="90" w:after="90"/>
      <w:outlineLvl w:val="1"/>
    </w:pPr>
    <w:rPr>
      <w:b/>
    </w:rPr>
  </w:style>
  <w:style w:type="paragraph" w:styleId="Heading3">
    <w:name w:val="heading 3"/>
    <w:basedOn w:val="Normal"/>
    <w:next w:val="Normal"/>
    <w:link w:val="Heading3Char"/>
    <w:uiPriority w:val="9"/>
    <w:qFormat/>
    <w:rsid w:val="00FC6704"/>
    <w:pPr>
      <w:spacing w:before="90"/>
      <w:outlineLvl w:val="2"/>
    </w:pPr>
    <w:rPr>
      <w:b/>
    </w:rPr>
  </w:style>
  <w:style w:type="paragraph" w:styleId="Heading4">
    <w:name w:val="heading 4"/>
    <w:basedOn w:val="Normal"/>
    <w:next w:val="Normal"/>
    <w:qFormat/>
    <w:rsid w:val="007D5DE4"/>
    <w:pPr>
      <w:keepNext/>
      <w:spacing w:before="120" w:after="120"/>
      <w:outlineLvl w:val="3"/>
    </w:pPr>
    <w:rPr>
      <w:b/>
    </w:rPr>
  </w:style>
  <w:style w:type="paragraph" w:styleId="Heading5">
    <w:name w:val="heading 5"/>
    <w:basedOn w:val="Normal"/>
    <w:next w:val="Normal"/>
    <w:qFormat/>
    <w:rsid w:val="0013585C"/>
    <w:pPr>
      <w:keepNext/>
      <w:spacing w:before="120" w:after="12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A6DB7"/>
    <w:rPr>
      <w:rFonts w:ascii="Arial" w:hAnsi="Arial"/>
      <w:b/>
      <w:color w:val="365F91"/>
      <w:sz w:val="28"/>
      <w:lang w:eastAsia="en-GB"/>
    </w:rPr>
  </w:style>
  <w:style w:type="character" w:customStyle="1" w:styleId="Heading2Char">
    <w:name w:val="Heading 2 Char"/>
    <w:link w:val="Heading2"/>
    <w:uiPriority w:val="9"/>
    <w:rsid w:val="00FC6704"/>
    <w:rPr>
      <w:rFonts w:ascii="Arial" w:hAnsi="Arial"/>
      <w:b/>
      <w:sz w:val="18"/>
      <w:lang w:eastAsia="en-GB"/>
    </w:rPr>
  </w:style>
  <w:style w:type="character" w:customStyle="1" w:styleId="Heading3Char">
    <w:name w:val="Heading 3 Char"/>
    <w:link w:val="Heading3"/>
    <w:uiPriority w:val="9"/>
    <w:rsid w:val="00FC6704"/>
    <w:rPr>
      <w:rFonts w:ascii="Arial" w:hAnsi="Arial"/>
      <w:b/>
      <w:sz w:val="18"/>
      <w:lang w:eastAsia="en-GB"/>
    </w:rPr>
  </w:style>
  <w:style w:type="paragraph" w:styleId="TOC1">
    <w:name w:val="toc 1"/>
    <w:basedOn w:val="Normal"/>
    <w:next w:val="Normal"/>
    <w:uiPriority w:val="39"/>
    <w:qFormat/>
    <w:rsid w:val="000A440E"/>
    <w:pPr>
      <w:tabs>
        <w:tab w:val="right" w:leader="dot" w:pos="11624"/>
      </w:tabs>
      <w:spacing w:before="240"/>
      <w:ind w:left="284" w:right="567"/>
    </w:pPr>
  </w:style>
  <w:style w:type="paragraph" w:styleId="TOC2">
    <w:name w:val="toc 2"/>
    <w:basedOn w:val="Normal"/>
    <w:next w:val="Normal"/>
    <w:uiPriority w:val="39"/>
    <w:qFormat/>
    <w:rsid w:val="000A440E"/>
    <w:pPr>
      <w:tabs>
        <w:tab w:val="right" w:leader="dot" w:pos="11624"/>
      </w:tabs>
      <w:spacing w:before="40"/>
      <w:ind w:left="284" w:right="567"/>
    </w:pPr>
    <w:rPr>
      <w:i/>
    </w:rPr>
  </w:style>
  <w:style w:type="paragraph" w:customStyle="1" w:styleId="Bullet">
    <w:name w:val="Bullet"/>
    <w:basedOn w:val="Normal"/>
    <w:qFormat/>
    <w:rsid w:val="0033412B"/>
    <w:pPr>
      <w:numPr>
        <w:numId w:val="1"/>
      </w:numPr>
      <w:spacing w:before="90"/>
    </w:pPr>
  </w:style>
  <w:style w:type="paragraph" w:styleId="Quote">
    <w:name w:val="Quote"/>
    <w:basedOn w:val="Normal"/>
    <w:next w:val="Normal"/>
    <w:qFormat/>
    <w:rsid w:val="00FD2E53"/>
    <w:pPr>
      <w:spacing w:before="60"/>
      <w:ind w:left="425" w:right="425"/>
    </w:pPr>
  </w:style>
  <w:style w:type="paragraph" w:styleId="FootnoteText">
    <w:name w:val="footnote text"/>
    <w:basedOn w:val="Normal"/>
    <w:link w:val="FootnoteTextChar"/>
    <w:uiPriority w:val="99"/>
    <w:rsid w:val="000A6DB7"/>
    <w:pPr>
      <w:spacing w:before="60"/>
      <w:ind w:left="284" w:hanging="284"/>
    </w:pPr>
    <w:rPr>
      <w:sz w:val="16"/>
    </w:rPr>
  </w:style>
  <w:style w:type="character" w:customStyle="1" w:styleId="FootnoteTextChar">
    <w:name w:val="Footnote Text Char"/>
    <w:link w:val="FootnoteText"/>
    <w:uiPriority w:val="99"/>
    <w:rsid w:val="000A6DB7"/>
    <w:rPr>
      <w:rFonts w:ascii="Arial" w:hAnsi="Arial"/>
      <w:sz w:val="16"/>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qFormat/>
    <w:rsid w:val="00522DBE"/>
    <w:rPr>
      <w:b/>
      <w:color w:val="1F497D"/>
      <w:sz w:val="44"/>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customStyle="1" w:styleId="FooterChar">
    <w:name w:val="Footer Char"/>
    <w:link w:val="Footer"/>
    <w:uiPriority w:val="99"/>
    <w:rsid w:val="0086388B"/>
    <w:rPr>
      <w:rFonts w:ascii="Georgia" w:hAnsi="Georgia"/>
      <w:sz w:val="22"/>
      <w:lang w:eastAsia="en-GB"/>
    </w:rPr>
  </w:style>
  <w:style w:type="character" w:styleId="PageNumber">
    <w:name w:val="page number"/>
    <w:rsid w:val="006011A5"/>
    <w:rPr>
      <w:rFonts w:ascii="Arial" w:hAnsi="Arial"/>
      <w:b w:val="0"/>
      <w:sz w:val="20"/>
    </w:rPr>
  </w:style>
  <w:style w:type="paragraph" w:customStyle="1" w:styleId="Figure">
    <w:name w:val="Figure"/>
    <w:basedOn w:val="Normal"/>
    <w:next w:val="Normal"/>
    <w:qFormat/>
    <w:rsid w:val="00EE0353"/>
    <w:pPr>
      <w:keepNext/>
      <w:spacing w:before="120"/>
    </w:pPr>
    <w:rPr>
      <w:b/>
    </w:rPr>
  </w:style>
  <w:style w:type="character" w:styleId="FootnoteReference">
    <w:name w:val="footnote reference"/>
    <w:rPr>
      <w:vertAlign w:val="superscript"/>
    </w:rPr>
  </w:style>
  <w:style w:type="paragraph" w:customStyle="1" w:styleId="Table">
    <w:name w:val="Table"/>
    <w:basedOn w:val="Figure"/>
    <w:qFormat/>
    <w:rsid w:val="004C54E9"/>
    <w:pPr>
      <w:spacing w:after="60"/>
    </w:pPr>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7C56CE"/>
    <w:pPr>
      <w:spacing w:before="90" w:after="90"/>
    </w:pPr>
  </w:style>
  <w:style w:type="paragraph" w:customStyle="1" w:styleId="TableBullet">
    <w:name w:val="TableBullet"/>
    <w:basedOn w:val="TableText"/>
    <w:qFormat/>
    <w:rsid w:val="006A303A"/>
    <w:pPr>
      <w:numPr>
        <w:numId w:val="5"/>
      </w:numPr>
      <w:spacing w:before="0"/>
      <w:ind w:left="1135"/>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EA57A3"/>
    <w:pPr>
      <w:spacing w:after="240"/>
      <w:ind w:left="284"/>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C10288"/>
    <w:pPr>
      <w:spacing w:before="40"/>
      <w:ind w:left="284" w:hanging="284"/>
    </w:pPr>
    <w:rPr>
      <w:sz w:val="16"/>
    </w:rPr>
  </w:style>
  <w:style w:type="character" w:customStyle="1" w:styleId="NoteChar">
    <w:name w:val="Note Char"/>
    <w:link w:val="Note"/>
    <w:rsid w:val="00C10288"/>
    <w:rPr>
      <w:rFonts w:ascii="Arial" w:hAnsi="Arial"/>
      <w:sz w:val="16"/>
      <w:lang w:eastAsia="en-GB"/>
    </w:rPr>
  </w:style>
  <w:style w:type="paragraph" w:customStyle="1" w:styleId="Subhead">
    <w:name w:val="Subhead"/>
    <w:basedOn w:val="Normal"/>
    <w:next w:val="Normal"/>
    <w:qFormat/>
    <w:rsid w:val="00602320"/>
    <w:pPr>
      <w:spacing w:before="360"/>
    </w:pPr>
    <w:rPr>
      <w:b/>
      <w:sz w:val="36"/>
    </w:rPr>
  </w:style>
  <w:style w:type="character" w:styleId="Hyperlink">
    <w:name w:val="Hyperlink"/>
    <w:uiPriority w:val="99"/>
    <w:rPr>
      <w:color w:val="auto"/>
      <w:u w:val="none"/>
    </w:rPr>
  </w:style>
  <w:style w:type="paragraph" w:customStyle="1" w:styleId="TableDash">
    <w:name w:val="TableDash"/>
    <w:basedOn w:val="TableText"/>
    <w:qFormat/>
    <w:rsid w:val="0010541C"/>
    <w:pPr>
      <w:numPr>
        <w:numId w:val="4"/>
      </w:numPr>
      <w:spacing w:before="40" w:after="0"/>
    </w:pPr>
    <w:rPr>
      <w:szCs w:val="22"/>
    </w:rPr>
  </w:style>
  <w:style w:type="paragraph" w:customStyle="1" w:styleId="Year">
    <w:name w:val="Year"/>
    <w:basedOn w:val="Subhead"/>
    <w:next w:val="Subhead"/>
    <w:qFormat/>
    <w:rsid w:val="00602320"/>
    <w:pPr>
      <w:spacing w:before="840"/>
    </w:pPr>
    <w:rPr>
      <w:sz w:val="28"/>
    </w:rPr>
  </w:style>
  <w:style w:type="table" w:styleId="TableGrid">
    <w:name w:val="Table Grid"/>
    <w:basedOn w:val="TableNormal"/>
    <w:uiPriority w:val="5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388B"/>
    <w:rPr>
      <w:rFonts w:ascii="Calibri" w:eastAsia="Calibri" w:hAnsi="Calibri"/>
      <w:sz w:val="22"/>
      <w:szCs w:val="22"/>
      <w:lang w:val="en-US" w:eastAsia="en-US"/>
    </w:rPr>
  </w:style>
  <w:style w:type="paragraph" w:styleId="BalloonText">
    <w:name w:val="Balloon Text"/>
    <w:basedOn w:val="Normal"/>
    <w:link w:val="BalloonTextChar"/>
    <w:uiPriority w:val="99"/>
    <w:semiHidden/>
    <w:unhideWhenUsed/>
    <w:rsid w:val="00FC670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704"/>
    <w:rPr>
      <w:rFonts w:ascii="Tahom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011A5"/>
    <w:pPr>
      <w:spacing w:line="264" w:lineRule="auto"/>
    </w:pPr>
    <w:rPr>
      <w:rFonts w:ascii="Arial" w:hAnsi="Arial"/>
      <w:sz w:val="18"/>
      <w:lang w:eastAsia="en-GB"/>
    </w:rPr>
  </w:style>
  <w:style w:type="paragraph" w:styleId="Heading1">
    <w:name w:val="heading 1"/>
    <w:basedOn w:val="Normal"/>
    <w:next w:val="Normal"/>
    <w:link w:val="Heading1Char"/>
    <w:uiPriority w:val="9"/>
    <w:qFormat/>
    <w:rsid w:val="000A6DB7"/>
    <w:pPr>
      <w:spacing w:after="120"/>
      <w:outlineLvl w:val="0"/>
    </w:pPr>
    <w:rPr>
      <w:b/>
      <w:color w:val="365F91"/>
      <w:sz w:val="28"/>
    </w:rPr>
  </w:style>
  <w:style w:type="paragraph" w:styleId="Heading2">
    <w:name w:val="heading 2"/>
    <w:basedOn w:val="Normal"/>
    <w:next w:val="Normal"/>
    <w:link w:val="Heading2Char"/>
    <w:uiPriority w:val="9"/>
    <w:qFormat/>
    <w:rsid w:val="00FC6704"/>
    <w:pPr>
      <w:spacing w:before="90" w:after="90"/>
      <w:outlineLvl w:val="1"/>
    </w:pPr>
    <w:rPr>
      <w:b/>
    </w:rPr>
  </w:style>
  <w:style w:type="paragraph" w:styleId="Heading3">
    <w:name w:val="heading 3"/>
    <w:basedOn w:val="Normal"/>
    <w:next w:val="Normal"/>
    <w:link w:val="Heading3Char"/>
    <w:uiPriority w:val="9"/>
    <w:qFormat/>
    <w:rsid w:val="00FC6704"/>
    <w:pPr>
      <w:spacing w:before="90"/>
      <w:outlineLvl w:val="2"/>
    </w:pPr>
    <w:rPr>
      <w:b/>
    </w:rPr>
  </w:style>
  <w:style w:type="paragraph" w:styleId="Heading4">
    <w:name w:val="heading 4"/>
    <w:basedOn w:val="Normal"/>
    <w:next w:val="Normal"/>
    <w:qFormat/>
    <w:rsid w:val="007D5DE4"/>
    <w:pPr>
      <w:keepNext/>
      <w:spacing w:before="120" w:after="120"/>
      <w:outlineLvl w:val="3"/>
    </w:pPr>
    <w:rPr>
      <w:b/>
    </w:rPr>
  </w:style>
  <w:style w:type="paragraph" w:styleId="Heading5">
    <w:name w:val="heading 5"/>
    <w:basedOn w:val="Normal"/>
    <w:next w:val="Normal"/>
    <w:qFormat/>
    <w:rsid w:val="0013585C"/>
    <w:pPr>
      <w:keepNext/>
      <w:spacing w:before="120" w:after="12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A6DB7"/>
    <w:rPr>
      <w:rFonts w:ascii="Arial" w:hAnsi="Arial"/>
      <w:b/>
      <w:color w:val="365F91"/>
      <w:sz w:val="28"/>
      <w:lang w:eastAsia="en-GB"/>
    </w:rPr>
  </w:style>
  <w:style w:type="character" w:customStyle="1" w:styleId="Heading2Char">
    <w:name w:val="Heading 2 Char"/>
    <w:link w:val="Heading2"/>
    <w:uiPriority w:val="9"/>
    <w:rsid w:val="00FC6704"/>
    <w:rPr>
      <w:rFonts w:ascii="Arial" w:hAnsi="Arial"/>
      <w:b/>
      <w:sz w:val="18"/>
      <w:lang w:eastAsia="en-GB"/>
    </w:rPr>
  </w:style>
  <w:style w:type="character" w:customStyle="1" w:styleId="Heading3Char">
    <w:name w:val="Heading 3 Char"/>
    <w:link w:val="Heading3"/>
    <w:uiPriority w:val="9"/>
    <w:rsid w:val="00FC6704"/>
    <w:rPr>
      <w:rFonts w:ascii="Arial" w:hAnsi="Arial"/>
      <w:b/>
      <w:sz w:val="18"/>
      <w:lang w:eastAsia="en-GB"/>
    </w:rPr>
  </w:style>
  <w:style w:type="paragraph" w:styleId="TOC1">
    <w:name w:val="toc 1"/>
    <w:basedOn w:val="Normal"/>
    <w:next w:val="Normal"/>
    <w:uiPriority w:val="39"/>
    <w:qFormat/>
    <w:rsid w:val="000A440E"/>
    <w:pPr>
      <w:tabs>
        <w:tab w:val="right" w:leader="dot" w:pos="11624"/>
      </w:tabs>
      <w:spacing w:before="240"/>
      <w:ind w:left="284" w:right="567"/>
    </w:pPr>
  </w:style>
  <w:style w:type="paragraph" w:styleId="TOC2">
    <w:name w:val="toc 2"/>
    <w:basedOn w:val="Normal"/>
    <w:next w:val="Normal"/>
    <w:uiPriority w:val="39"/>
    <w:qFormat/>
    <w:rsid w:val="000A440E"/>
    <w:pPr>
      <w:tabs>
        <w:tab w:val="right" w:leader="dot" w:pos="11624"/>
      </w:tabs>
      <w:spacing w:before="40"/>
      <w:ind w:left="284" w:right="567"/>
    </w:pPr>
    <w:rPr>
      <w:i/>
    </w:rPr>
  </w:style>
  <w:style w:type="paragraph" w:customStyle="1" w:styleId="Bullet">
    <w:name w:val="Bullet"/>
    <w:basedOn w:val="Normal"/>
    <w:qFormat/>
    <w:rsid w:val="0033412B"/>
    <w:pPr>
      <w:numPr>
        <w:numId w:val="1"/>
      </w:numPr>
      <w:spacing w:before="90"/>
    </w:pPr>
  </w:style>
  <w:style w:type="paragraph" w:styleId="Quote">
    <w:name w:val="Quote"/>
    <w:basedOn w:val="Normal"/>
    <w:next w:val="Normal"/>
    <w:qFormat/>
    <w:rsid w:val="00FD2E53"/>
    <w:pPr>
      <w:spacing w:before="60"/>
      <w:ind w:left="425" w:right="425"/>
    </w:pPr>
  </w:style>
  <w:style w:type="paragraph" w:styleId="FootnoteText">
    <w:name w:val="footnote text"/>
    <w:basedOn w:val="Normal"/>
    <w:link w:val="FootnoteTextChar"/>
    <w:uiPriority w:val="99"/>
    <w:rsid w:val="000A6DB7"/>
    <w:pPr>
      <w:spacing w:before="60"/>
      <w:ind w:left="284" w:hanging="284"/>
    </w:pPr>
    <w:rPr>
      <w:sz w:val="16"/>
    </w:rPr>
  </w:style>
  <w:style w:type="character" w:customStyle="1" w:styleId="FootnoteTextChar">
    <w:name w:val="Footnote Text Char"/>
    <w:link w:val="FootnoteText"/>
    <w:uiPriority w:val="99"/>
    <w:rsid w:val="000A6DB7"/>
    <w:rPr>
      <w:rFonts w:ascii="Arial" w:hAnsi="Arial"/>
      <w:sz w:val="16"/>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qFormat/>
    <w:rsid w:val="00522DBE"/>
    <w:rPr>
      <w:b/>
      <w:color w:val="1F497D"/>
      <w:sz w:val="44"/>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customStyle="1" w:styleId="FooterChar">
    <w:name w:val="Footer Char"/>
    <w:link w:val="Footer"/>
    <w:uiPriority w:val="99"/>
    <w:rsid w:val="0086388B"/>
    <w:rPr>
      <w:rFonts w:ascii="Georgia" w:hAnsi="Georgia"/>
      <w:sz w:val="22"/>
      <w:lang w:eastAsia="en-GB"/>
    </w:rPr>
  </w:style>
  <w:style w:type="character" w:styleId="PageNumber">
    <w:name w:val="page number"/>
    <w:rsid w:val="006011A5"/>
    <w:rPr>
      <w:rFonts w:ascii="Arial" w:hAnsi="Arial"/>
      <w:b w:val="0"/>
      <w:sz w:val="20"/>
    </w:rPr>
  </w:style>
  <w:style w:type="paragraph" w:customStyle="1" w:styleId="Figure">
    <w:name w:val="Figure"/>
    <w:basedOn w:val="Normal"/>
    <w:next w:val="Normal"/>
    <w:qFormat/>
    <w:rsid w:val="00EE0353"/>
    <w:pPr>
      <w:keepNext/>
      <w:spacing w:before="120"/>
    </w:pPr>
    <w:rPr>
      <w:b/>
    </w:rPr>
  </w:style>
  <w:style w:type="character" w:styleId="FootnoteReference">
    <w:name w:val="footnote reference"/>
    <w:rPr>
      <w:vertAlign w:val="superscript"/>
    </w:rPr>
  </w:style>
  <w:style w:type="paragraph" w:customStyle="1" w:styleId="Table">
    <w:name w:val="Table"/>
    <w:basedOn w:val="Figure"/>
    <w:qFormat/>
    <w:rsid w:val="004C54E9"/>
    <w:pPr>
      <w:spacing w:after="60"/>
    </w:pPr>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7C56CE"/>
    <w:pPr>
      <w:spacing w:before="90" w:after="90"/>
    </w:pPr>
  </w:style>
  <w:style w:type="paragraph" w:customStyle="1" w:styleId="TableBullet">
    <w:name w:val="TableBullet"/>
    <w:basedOn w:val="TableText"/>
    <w:qFormat/>
    <w:rsid w:val="006A303A"/>
    <w:pPr>
      <w:numPr>
        <w:numId w:val="5"/>
      </w:numPr>
      <w:spacing w:before="0"/>
      <w:ind w:left="1135"/>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EA57A3"/>
    <w:pPr>
      <w:spacing w:after="240"/>
      <w:ind w:left="284"/>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C10288"/>
    <w:pPr>
      <w:spacing w:before="40"/>
      <w:ind w:left="284" w:hanging="284"/>
    </w:pPr>
    <w:rPr>
      <w:sz w:val="16"/>
    </w:rPr>
  </w:style>
  <w:style w:type="character" w:customStyle="1" w:styleId="NoteChar">
    <w:name w:val="Note Char"/>
    <w:link w:val="Note"/>
    <w:rsid w:val="00C10288"/>
    <w:rPr>
      <w:rFonts w:ascii="Arial" w:hAnsi="Arial"/>
      <w:sz w:val="16"/>
      <w:lang w:eastAsia="en-GB"/>
    </w:rPr>
  </w:style>
  <w:style w:type="paragraph" w:customStyle="1" w:styleId="Subhead">
    <w:name w:val="Subhead"/>
    <w:basedOn w:val="Normal"/>
    <w:next w:val="Normal"/>
    <w:qFormat/>
    <w:rsid w:val="00602320"/>
    <w:pPr>
      <w:spacing w:before="360"/>
    </w:pPr>
    <w:rPr>
      <w:b/>
      <w:sz w:val="36"/>
    </w:rPr>
  </w:style>
  <w:style w:type="character" w:styleId="Hyperlink">
    <w:name w:val="Hyperlink"/>
    <w:uiPriority w:val="99"/>
    <w:rPr>
      <w:color w:val="auto"/>
      <w:u w:val="none"/>
    </w:rPr>
  </w:style>
  <w:style w:type="paragraph" w:customStyle="1" w:styleId="TableDash">
    <w:name w:val="TableDash"/>
    <w:basedOn w:val="TableText"/>
    <w:qFormat/>
    <w:rsid w:val="0010541C"/>
    <w:pPr>
      <w:numPr>
        <w:numId w:val="4"/>
      </w:numPr>
      <w:spacing w:before="40" w:after="0"/>
    </w:pPr>
    <w:rPr>
      <w:szCs w:val="22"/>
    </w:rPr>
  </w:style>
  <w:style w:type="paragraph" w:customStyle="1" w:styleId="Year">
    <w:name w:val="Year"/>
    <w:basedOn w:val="Subhead"/>
    <w:next w:val="Subhead"/>
    <w:qFormat/>
    <w:rsid w:val="00602320"/>
    <w:pPr>
      <w:spacing w:before="840"/>
    </w:pPr>
    <w:rPr>
      <w:sz w:val="28"/>
    </w:rPr>
  </w:style>
  <w:style w:type="table" w:styleId="TableGrid">
    <w:name w:val="Table Grid"/>
    <w:basedOn w:val="TableNormal"/>
    <w:uiPriority w:val="5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388B"/>
    <w:rPr>
      <w:rFonts w:ascii="Calibri" w:eastAsia="Calibri" w:hAnsi="Calibri"/>
      <w:sz w:val="22"/>
      <w:szCs w:val="22"/>
      <w:lang w:val="en-US" w:eastAsia="en-US"/>
    </w:rPr>
  </w:style>
  <w:style w:type="paragraph" w:styleId="BalloonText">
    <w:name w:val="Balloon Text"/>
    <w:basedOn w:val="Normal"/>
    <w:link w:val="BalloonTextChar"/>
    <w:uiPriority w:val="99"/>
    <w:semiHidden/>
    <w:unhideWhenUsed/>
    <w:rsid w:val="00FC670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704"/>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hyperlink" Target="mailto:Ruth_Anderson@moh.govt.nz"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WMNTFP\Group\ER\ARC%20and%20DSS\ARC%20Data%20Collection\SAS%20works\HCSS%20Data%20Cube%20(8%20May).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WMNTFP\Group\ER\ARC%20and%20DSS\ARC%20Data%20Collection\SAS%20works\HCSS%20Data%20Cube%20(8%20May).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WMNTFP\Group\ER\ARC%20and%20DSS\ARC%20Data%20Collection\SAS%20works\HCSS%20Data%20Cube%20(8%20May).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Qualifications!$B$155</c:f>
              <c:strCache>
                <c:ptCount val="1"/>
                <c:pt idx="0">
                  <c:v>=$14.25</c:v>
                </c:pt>
              </c:strCache>
            </c:strRef>
          </c:tx>
          <c:invertIfNegative val="0"/>
          <c:cat>
            <c:strRef>
              <c:f>Qualifications!$A$156:$A$162</c:f>
              <c:strCache>
                <c:ptCount val="7"/>
                <c:pt idx="0">
                  <c:v>None</c:v>
                </c:pt>
                <c:pt idx="1">
                  <c:v>On the Job</c:v>
                </c:pt>
                <c:pt idx="2">
                  <c:v>NZQA
Level 2</c:v>
                </c:pt>
                <c:pt idx="3">
                  <c:v>NZQA
Level 3</c:v>
                </c:pt>
                <c:pt idx="4">
                  <c:v>NZQA
Certificate</c:v>
                </c:pt>
                <c:pt idx="5">
                  <c:v>Graduate
PostGrad</c:v>
                </c:pt>
                <c:pt idx="6">
                  <c:v>Other</c:v>
                </c:pt>
              </c:strCache>
            </c:strRef>
          </c:cat>
          <c:val>
            <c:numRef>
              <c:f>Qualifications!$B$156:$B$162</c:f>
              <c:numCache>
                <c:formatCode>0%</c:formatCode>
                <c:ptCount val="7"/>
                <c:pt idx="0">
                  <c:v>0.23242802848140631</c:v>
                </c:pt>
                <c:pt idx="1">
                  <c:v>0.39252788686151163</c:v>
                </c:pt>
                <c:pt idx="2">
                  <c:v>0.30203459933027105</c:v>
                </c:pt>
                <c:pt idx="3">
                  <c:v>6.5890490134209223E-2</c:v>
                </c:pt>
                <c:pt idx="4">
                  <c:v>4.8659129297476868E-3</c:v>
                </c:pt>
                <c:pt idx="5">
                  <c:v>0</c:v>
                </c:pt>
                <c:pt idx="6">
                  <c:v>2.2530822628541161E-3</c:v>
                </c:pt>
              </c:numCache>
            </c:numRef>
          </c:val>
        </c:ser>
        <c:ser>
          <c:idx val="1"/>
          <c:order val="1"/>
          <c:tx>
            <c:strRef>
              <c:f>Qualifications!$C$155</c:f>
              <c:strCache>
                <c:ptCount val="1"/>
                <c:pt idx="0">
                  <c:v>$14.26-$14.75</c:v>
                </c:pt>
              </c:strCache>
            </c:strRef>
          </c:tx>
          <c:invertIfNegative val="0"/>
          <c:cat>
            <c:strRef>
              <c:f>Qualifications!$A$156:$A$162</c:f>
              <c:strCache>
                <c:ptCount val="7"/>
                <c:pt idx="0">
                  <c:v>None</c:v>
                </c:pt>
                <c:pt idx="1">
                  <c:v>On the Job</c:v>
                </c:pt>
                <c:pt idx="2">
                  <c:v>NZQA
Level 2</c:v>
                </c:pt>
                <c:pt idx="3">
                  <c:v>NZQA
Level 3</c:v>
                </c:pt>
                <c:pt idx="4">
                  <c:v>NZQA
Certificate</c:v>
                </c:pt>
                <c:pt idx="5">
                  <c:v>Graduate
PostGrad</c:v>
                </c:pt>
                <c:pt idx="6">
                  <c:v>Other</c:v>
                </c:pt>
              </c:strCache>
            </c:strRef>
          </c:cat>
          <c:val>
            <c:numRef>
              <c:f>Qualifications!$C$156:$C$162</c:f>
              <c:numCache>
                <c:formatCode>0%</c:formatCode>
                <c:ptCount val="7"/>
                <c:pt idx="0">
                  <c:v>0.18343292439105563</c:v>
                </c:pt>
                <c:pt idx="1">
                  <c:v>0.38881559045066832</c:v>
                </c:pt>
                <c:pt idx="2">
                  <c:v>0.2045139151758687</c:v>
                </c:pt>
                <c:pt idx="3">
                  <c:v>0.20676821388661071</c:v>
                </c:pt>
                <c:pt idx="4">
                  <c:v>7.7801325933528499E-3</c:v>
                </c:pt>
                <c:pt idx="5">
                  <c:v>0</c:v>
                </c:pt>
                <c:pt idx="6">
                  <c:v>8.6892235024437596E-3</c:v>
                </c:pt>
              </c:numCache>
            </c:numRef>
          </c:val>
        </c:ser>
        <c:ser>
          <c:idx val="2"/>
          <c:order val="2"/>
          <c:tx>
            <c:strRef>
              <c:f>Qualifications!$D$155</c:f>
              <c:strCache>
                <c:ptCount val="1"/>
                <c:pt idx="0">
                  <c:v>$14.76-$15.00</c:v>
                </c:pt>
              </c:strCache>
            </c:strRef>
          </c:tx>
          <c:invertIfNegative val="0"/>
          <c:cat>
            <c:strRef>
              <c:f>Qualifications!$A$156:$A$162</c:f>
              <c:strCache>
                <c:ptCount val="7"/>
                <c:pt idx="0">
                  <c:v>None</c:v>
                </c:pt>
                <c:pt idx="1">
                  <c:v>On the Job</c:v>
                </c:pt>
                <c:pt idx="2">
                  <c:v>NZQA
Level 2</c:v>
                </c:pt>
                <c:pt idx="3">
                  <c:v>NZQA
Level 3</c:v>
                </c:pt>
                <c:pt idx="4">
                  <c:v>NZQA
Certificate</c:v>
                </c:pt>
                <c:pt idx="5">
                  <c:v>Graduate
PostGrad</c:v>
                </c:pt>
                <c:pt idx="6">
                  <c:v>Other</c:v>
                </c:pt>
              </c:strCache>
            </c:strRef>
          </c:cat>
          <c:val>
            <c:numRef>
              <c:f>Qualifications!$D$156:$D$162</c:f>
              <c:numCache>
                <c:formatCode>0%</c:formatCode>
                <c:ptCount val="7"/>
                <c:pt idx="0">
                  <c:v>1.4873806274737248E-2</c:v>
                </c:pt>
                <c:pt idx="1">
                  <c:v>0.40941930743469152</c:v>
                </c:pt>
                <c:pt idx="2">
                  <c:v>0.27419963121459956</c:v>
                </c:pt>
                <c:pt idx="3">
                  <c:v>0.21273899981110811</c:v>
                </c:pt>
                <c:pt idx="4">
                  <c:v>1.3391441495870611E-2</c:v>
                </c:pt>
                <c:pt idx="5">
                  <c:v>1.8348413856234588E-2</c:v>
                </c:pt>
                <c:pt idx="6">
                  <c:v>5.7028399912758321E-2</c:v>
                </c:pt>
              </c:numCache>
            </c:numRef>
          </c:val>
        </c:ser>
        <c:ser>
          <c:idx val="3"/>
          <c:order val="3"/>
          <c:tx>
            <c:strRef>
              <c:f>Qualifications!$E$155</c:f>
              <c:strCache>
                <c:ptCount val="1"/>
                <c:pt idx="0">
                  <c:v>$15.01-$16.00</c:v>
                </c:pt>
              </c:strCache>
            </c:strRef>
          </c:tx>
          <c:invertIfNegative val="0"/>
          <c:cat>
            <c:strRef>
              <c:f>Qualifications!$A$156:$A$162</c:f>
              <c:strCache>
                <c:ptCount val="7"/>
                <c:pt idx="0">
                  <c:v>None</c:v>
                </c:pt>
                <c:pt idx="1">
                  <c:v>On the Job</c:v>
                </c:pt>
                <c:pt idx="2">
                  <c:v>NZQA
Level 2</c:v>
                </c:pt>
                <c:pt idx="3">
                  <c:v>NZQA
Level 3</c:v>
                </c:pt>
                <c:pt idx="4">
                  <c:v>NZQA
Certificate</c:v>
                </c:pt>
                <c:pt idx="5">
                  <c:v>Graduate
PostGrad</c:v>
                </c:pt>
                <c:pt idx="6">
                  <c:v>Other</c:v>
                </c:pt>
              </c:strCache>
            </c:strRef>
          </c:cat>
          <c:val>
            <c:numRef>
              <c:f>Qualifications!$E$156:$E$162</c:f>
              <c:numCache>
                <c:formatCode>0%</c:formatCode>
                <c:ptCount val="7"/>
                <c:pt idx="0">
                  <c:v>1.0110604901773228E-2</c:v>
                </c:pt>
                <c:pt idx="1">
                  <c:v>0.55074337153469455</c:v>
                </c:pt>
                <c:pt idx="2">
                  <c:v>0.16351568018286028</c:v>
                </c:pt>
                <c:pt idx="3">
                  <c:v>0.19075635482839159</c:v>
                </c:pt>
                <c:pt idx="4">
                  <c:v>2.6673926600937481E-2</c:v>
                </c:pt>
                <c:pt idx="5">
                  <c:v>7.2066619233721683E-3</c:v>
                </c:pt>
                <c:pt idx="6">
                  <c:v>5.0993400027970752E-2</c:v>
                </c:pt>
              </c:numCache>
            </c:numRef>
          </c:val>
        </c:ser>
        <c:ser>
          <c:idx val="4"/>
          <c:order val="4"/>
          <c:tx>
            <c:strRef>
              <c:f>Qualifications!$F$155</c:f>
              <c:strCache>
                <c:ptCount val="1"/>
                <c:pt idx="0">
                  <c:v>$16.01-$17.00</c:v>
                </c:pt>
              </c:strCache>
            </c:strRef>
          </c:tx>
          <c:invertIfNegative val="0"/>
          <c:cat>
            <c:strRef>
              <c:f>Qualifications!$A$156:$A$162</c:f>
              <c:strCache>
                <c:ptCount val="7"/>
                <c:pt idx="0">
                  <c:v>None</c:v>
                </c:pt>
                <c:pt idx="1">
                  <c:v>On the Job</c:v>
                </c:pt>
                <c:pt idx="2">
                  <c:v>NZQA
Level 2</c:v>
                </c:pt>
                <c:pt idx="3">
                  <c:v>NZQA
Level 3</c:v>
                </c:pt>
                <c:pt idx="4">
                  <c:v>NZQA
Certificate</c:v>
                </c:pt>
                <c:pt idx="5">
                  <c:v>Graduate
PostGrad</c:v>
                </c:pt>
                <c:pt idx="6">
                  <c:v>Other</c:v>
                </c:pt>
              </c:strCache>
            </c:strRef>
          </c:cat>
          <c:val>
            <c:numRef>
              <c:f>Qualifications!$F$156:$F$162</c:f>
              <c:numCache>
                <c:formatCode>0%</c:formatCode>
                <c:ptCount val="7"/>
                <c:pt idx="0">
                  <c:v>0</c:v>
                </c:pt>
                <c:pt idx="1">
                  <c:v>0.19180769392512831</c:v>
                </c:pt>
                <c:pt idx="2">
                  <c:v>0.31462696641413623</c:v>
                </c:pt>
                <c:pt idx="3">
                  <c:v>0.37719849763339303</c:v>
                </c:pt>
                <c:pt idx="4">
                  <c:v>5.6583630957926463E-2</c:v>
                </c:pt>
                <c:pt idx="5">
                  <c:v>2.7566168321969745E-3</c:v>
                </c:pt>
                <c:pt idx="6">
                  <c:v>5.7026594237218994E-2</c:v>
                </c:pt>
              </c:numCache>
            </c:numRef>
          </c:val>
        </c:ser>
        <c:ser>
          <c:idx val="5"/>
          <c:order val="5"/>
          <c:tx>
            <c:strRef>
              <c:f>Qualifications!$G$155</c:f>
              <c:strCache>
                <c:ptCount val="1"/>
                <c:pt idx="0">
                  <c:v>$17.01+</c:v>
                </c:pt>
              </c:strCache>
            </c:strRef>
          </c:tx>
          <c:invertIfNegative val="0"/>
          <c:cat>
            <c:strRef>
              <c:f>Qualifications!$A$156:$A$162</c:f>
              <c:strCache>
                <c:ptCount val="7"/>
                <c:pt idx="0">
                  <c:v>None</c:v>
                </c:pt>
                <c:pt idx="1">
                  <c:v>On the Job</c:v>
                </c:pt>
                <c:pt idx="2">
                  <c:v>NZQA
Level 2</c:v>
                </c:pt>
                <c:pt idx="3">
                  <c:v>NZQA
Level 3</c:v>
                </c:pt>
                <c:pt idx="4">
                  <c:v>NZQA
Certificate</c:v>
                </c:pt>
                <c:pt idx="5">
                  <c:v>Graduate
PostGrad</c:v>
                </c:pt>
                <c:pt idx="6">
                  <c:v>Other</c:v>
                </c:pt>
              </c:strCache>
            </c:strRef>
          </c:cat>
          <c:val>
            <c:numRef>
              <c:f>Qualifications!$G$156:$G$162</c:f>
              <c:numCache>
                <c:formatCode>0%</c:formatCode>
                <c:ptCount val="7"/>
                <c:pt idx="0">
                  <c:v>0</c:v>
                </c:pt>
                <c:pt idx="1">
                  <c:v>0.26615369907758374</c:v>
                </c:pt>
                <c:pt idx="2">
                  <c:v>0.20603936276206847</c:v>
                </c:pt>
                <c:pt idx="3">
                  <c:v>0.25286723032436653</c:v>
                </c:pt>
                <c:pt idx="4">
                  <c:v>0.14824452509264652</c:v>
                </c:pt>
                <c:pt idx="5">
                  <c:v>2.4329033101337126E-2</c:v>
                </c:pt>
                <c:pt idx="6">
                  <c:v>0.10236614964199761</c:v>
                </c:pt>
              </c:numCache>
            </c:numRef>
          </c:val>
        </c:ser>
        <c:dLbls>
          <c:showLegendKey val="0"/>
          <c:showVal val="0"/>
          <c:showCatName val="0"/>
          <c:showSerName val="0"/>
          <c:showPercent val="0"/>
          <c:showBubbleSize val="0"/>
        </c:dLbls>
        <c:gapWidth val="150"/>
        <c:axId val="151825408"/>
        <c:axId val="151876352"/>
      </c:barChart>
      <c:catAx>
        <c:axId val="151825408"/>
        <c:scaling>
          <c:orientation val="minMax"/>
        </c:scaling>
        <c:delete val="0"/>
        <c:axPos val="b"/>
        <c:numFmt formatCode="General" sourceLinked="0"/>
        <c:majorTickMark val="out"/>
        <c:minorTickMark val="none"/>
        <c:tickLblPos val="nextTo"/>
        <c:txPr>
          <a:bodyPr/>
          <a:lstStyle/>
          <a:p>
            <a:pPr>
              <a:defRPr b="1" i="0" baseline="0"/>
            </a:pPr>
            <a:endParaRPr lang="en-US"/>
          </a:p>
        </c:txPr>
        <c:crossAx val="151876352"/>
        <c:crosses val="autoZero"/>
        <c:auto val="1"/>
        <c:lblAlgn val="ctr"/>
        <c:lblOffset val="100"/>
        <c:noMultiLvlLbl val="0"/>
      </c:catAx>
      <c:valAx>
        <c:axId val="151876352"/>
        <c:scaling>
          <c:orientation val="minMax"/>
        </c:scaling>
        <c:delete val="0"/>
        <c:axPos val="l"/>
        <c:majorGridlines>
          <c:spPr>
            <a:ln>
              <a:solidFill>
                <a:schemeClr val="tx1"/>
              </a:solidFill>
            </a:ln>
          </c:spPr>
        </c:majorGridlines>
        <c:numFmt formatCode="0%" sourceLinked="1"/>
        <c:majorTickMark val="out"/>
        <c:minorTickMark val="none"/>
        <c:tickLblPos val="nextTo"/>
        <c:crossAx val="151825408"/>
        <c:crosses val="autoZero"/>
        <c:crossBetween val="between"/>
      </c:valAx>
      <c:spPr>
        <a:noFill/>
      </c:spPr>
    </c:plotArea>
    <c:legend>
      <c:legendPos val="b"/>
      <c:layout>
        <c:manualLayout>
          <c:xMode val="edge"/>
          <c:yMode val="edge"/>
          <c:x val="1.9115546524812097E-2"/>
          <c:y val="0.89409600972713643"/>
          <c:w val="0.9544262934883615"/>
          <c:h val="8.6110641749180497E-2"/>
        </c:manualLayout>
      </c:layout>
      <c:overlay val="0"/>
      <c:txPr>
        <a:bodyPr/>
        <a:lstStyle/>
        <a:p>
          <a:pPr>
            <a:defRPr b="1" i="0" baseline="0"/>
          </a:pPr>
          <a:endParaRPr lang="en-US"/>
        </a:p>
      </c:txPr>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Qualifications!$N$26</c:f>
              <c:strCache>
                <c:ptCount val="1"/>
                <c:pt idx="0">
                  <c:v>None</c:v>
                </c:pt>
              </c:strCache>
            </c:strRef>
          </c:tx>
          <c:invertIfNegative val="0"/>
          <c:dLbls>
            <c:dLbl>
              <c:idx val="0"/>
              <c:tx>
                <c:rich>
                  <a:bodyPr/>
                  <a:lstStyle/>
                  <a:p>
                    <a:r>
                      <a:rPr lang="en-US" b="1"/>
                      <a:t>None</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Qualifications!$M$32</c:f>
              <c:strCache>
                <c:ptCount val="1"/>
                <c:pt idx="0">
                  <c:v>National (including HHL)</c:v>
                </c:pt>
              </c:strCache>
            </c:strRef>
          </c:cat>
          <c:val>
            <c:numRef>
              <c:f>Qualifications!$N$32</c:f>
              <c:numCache>
                <c:formatCode>0%</c:formatCode>
                <c:ptCount val="1"/>
                <c:pt idx="0">
                  <c:v>3.3232266815606801E-2</c:v>
                </c:pt>
              </c:numCache>
            </c:numRef>
          </c:val>
        </c:ser>
        <c:ser>
          <c:idx val="1"/>
          <c:order val="1"/>
          <c:tx>
            <c:strRef>
              <c:f>Qualifications!$O$26</c:f>
              <c:strCache>
                <c:ptCount val="1"/>
                <c:pt idx="0">
                  <c:v>On the Job</c:v>
                </c:pt>
              </c:strCache>
            </c:strRef>
          </c:tx>
          <c:invertIfNegative val="0"/>
          <c:dLbls>
            <c:dLbl>
              <c:idx val="0"/>
              <c:tx>
                <c:rich>
                  <a:bodyPr/>
                  <a:lstStyle/>
                  <a:p>
                    <a:r>
                      <a:rPr lang="en-US" sz="1000" b="1" i="0" baseline="0">
                        <a:effectLst/>
                      </a:rPr>
                      <a:t>On</a:t>
                    </a:r>
                    <a:r>
                      <a:rPr lang="en-US" sz="1000" b="0" i="0" baseline="0">
                        <a:effectLst/>
                      </a:rPr>
                      <a:t> </a:t>
                    </a:r>
                    <a:r>
                      <a:rPr lang="en-US" sz="1000" b="1" i="0" baseline="0">
                        <a:effectLst/>
                      </a:rPr>
                      <a:t>the</a:t>
                    </a:r>
                    <a:r>
                      <a:rPr lang="en-US" sz="1000" b="0" i="0" baseline="0">
                        <a:effectLst/>
                      </a:rPr>
                      <a:t> </a:t>
                    </a:r>
                    <a:r>
                      <a:rPr lang="en-US" sz="1000" b="1" i="0" baseline="0">
                        <a:effectLst/>
                      </a:rPr>
                      <a:t>Job</a:t>
                    </a:r>
                    <a:endParaRPr lang="en-US" sz="1000">
                      <a:effectLst/>
                    </a:endParaRPr>
                  </a:p>
                </c:rich>
              </c:tx>
              <c:showLegendKey val="0"/>
              <c:showVal val="1"/>
              <c:showCatName val="0"/>
              <c:showSerName val="0"/>
              <c:showPercent val="0"/>
              <c:showBubbleSize val="0"/>
              <c:extLst>
                <c:ext xmlns:c15="http://schemas.microsoft.com/office/drawing/2012/chart" uri="{CE6537A1-D6FC-4f65-9D91-7224C49458BB}">
                  <c15:layout/>
                </c:ext>
              </c:extLst>
            </c:dLbl>
            <c:numFmt formatCode="#,##0.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Qualifications!$M$32</c:f>
              <c:strCache>
                <c:ptCount val="1"/>
                <c:pt idx="0">
                  <c:v>National (including HHL)</c:v>
                </c:pt>
              </c:strCache>
            </c:strRef>
          </c:cat>
          <c:val>
            <c:numRef>
              <c:f>Qualifications!$O$32</c:f>
              <c:numCache>
                <c:formatCode>0%</c:formatCode>
                <c:ptCount val="1"/>
                <c:pt idx="0">
                  <c:v>0.34105960264900664</c:v>
                </c:pt>
              </c:numCache>
            </c:numRef>
          </c:val>
        </c:ser>
        <c:ser>
          <c:idx val="2"/>
          <c:order val="2"/>
          <c:tx>
            <c:strRef>
              <c:f>Qualifications!$P$26</c:f>
              <c:strCache>
                <c:ptCount val="1"/>
                <c:pt idx="0">
                  <c:v>NZQA Level 2</c:v>
                </c:pt>
              </c:strCache>
            </c:strRef>
          </c:tx>
          <c:invertIfNegative val="0"/>
          <c:dLbls>
            <c:dLbl>
              <c:idx val="0"/>
              <c:layout>
                <c:manualLayout>
                  <c:x val="-2.1431414664041777E-3"/>
                  <c:y val="5.0039363188581459E-2"/>
                </c:manualLayout>
              </c:layout>
              <c:tx>
                <c:rich>
                  <a:bodyPr/>
                  <a:lstStyle/>
                  <a:p>
                    <a:r>
                      <a:rPr lang="en-US" sz="1000" b="1" i="0" baseline="0">
                        <a:effectLst/>
                      </a:rPr>
                      <a:t>NZQA</a:t>
                    </a:r>
                    <a:r>
                      <a:rPr lang="en-US" sz="1000" b="0" i="0" baseline="0">
                        <a:effectLst/>
                      </a:rPr>
                      <a:t/>
                    </a:r>
                    <a:br>
                      <a:rPr lang="en-US" sz="1000" b="0" i="0" baseline="0">
                        <a:effectLst/>
                      </a:rPr>
                    </a:br>
                    <a:r>
                      <a:rPr lang="en-US" sz="1000" b="0" i="0" baseline="0">
                        <a:effectLst/>
                      </a:rPr>
                      <a:t> </a:t>
                    </a:r>
                    <a:r>
                      <a:rPr lang="en-US" sz="1000" b="1" i="0" baseline="0">
                        <a:effectLst/>
                      </a:rPr>
                      <a:t>Level</a:t>
                    </a:r>
                    <a:r>
                      <a:rPr lang="en-US" sz="1000" b="0" i="0" baseline="0">
                        <a:effectLst/>
                      </a:rPr>
                      <a:t> </a:t>
                    </a:r>
                    <a:r>
                      <a:rPr lang="en-US" sz="1000" b="1" i="0" baseline="0">
                        <a:effectLst/>
                      </a:rPr>
                      <a:t>2</a:t>
                    </a:r>
                    <a:endParaRPr lang="en-US" sz="1000">
                      <a:effectLst/>
                    </a:endParaRP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Qualifications!$M$32</c:f>
              <c:strCache>
                <c:ptCount val="1"/>
                <c:pt idx="0">
                  <c:v>National (including HHL)</c:v>
                </c:pt>
              </c:strCache>
            </c:strRef>
          </c:cat>
          <c:val>
            <c:numRef>
              <c:f>Qualifications!$P$32</c:f>
              <c:numCache>
                <c:formatCode>0%</c:formatCode>
                <c:ptCount val="1"/>
                <c:pt idx="0">
                  <c:v>0.32797414824862359</c:v>
                </c:pt>
              </c:numCache>
            </c:numRef>
          </c:val>
        </c:ser>
        <c:ser>
          <c:idx val="3"/>
          <c:order val="3"/>
          <c:tx>
            <c:strRef>
              <c:f>Qualifications!$Q$26</c:f>
              <c:strCache>
                <c:ptCount val="1"/>
                <c:pt idx="0">
                  <c:v>NZQA Level 3</c:v>
                </c:pt>
              </c:strCache>
            </c:strRef>
          </c:tx>
          <c:invertIfNegative val="0"/>
          <c:dLbls>
            <c:dLbl>
              <c:idx val="0"/>
              <c:layout>
                <c:manualLayout>
                  <c:x val="0"/>
                  <c:y val="1.4293423730797433E-2"/>
                </c:manualLayout>
              </c:layout>
              <c:tx>
                <c:rich>
                  <a:bodyPr/>
                  <a:lstStyle/>
                  <a:p>
                    <a:r>
                      <a:rPr lang="en-US" sz="1000" b="1" i="0" baseline="0">
                        <a:effectLst/>
                      </a:rPr>
                      <a:t>NZQA</a:t>
                    </a:r>
                    <a:r>
                      <a:rPr lang="en-US" sz="1000" b="0" i="0" baseline="0">
                        <a:effectLst/>
                      </a:rPr>
                      <a:t/>
                    </a:r>
                    <a:br>
                      <a:rPr lang="en-US" sz="1000" b="0" i="0" baseline="0">
                        <a:effectLst/>
                      </a:rPr>
                    </a:br>
                    <a:r>
                      <a:rPr lang="en-US" sz="1000" b="1" i="0" baseline="0">
                        <a:effectLst/>
                      </a:rPr>
                      <a:t>Level</a:t>
                    </a:r>
                    <a:r>
                      <a:rPr lang="en-US" sz="1000" b="0" i="0" baseline="0">
                        <a:effectLst/>
                      </a:rPr>
                      <a:t> </a:t>
                    </a:r>
                    <a:r>
                      <a:rPr lang="en-US" sz="1000" b="1" i="0" baseline="0">
                        <a:effectLst/>
                      </a:rPr>
                      <a:t>3</a:t>
                    </a:r>
                    <a:endParaRPr lang="en-US" sz="1000">
                      <a:effectLst/>
                    </a:endParaRP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Qualifications!$M$32</c:f>
              <c:strCache>
                <c:ptCount val="1"/>
                <c:pt idx="0">
                  <c:v>National (including HHL)</c:v>
                </c:pt>
              </c:strCache>
            </c:strRef>
          </c:cat>
          <c:val>
            <c:numRef>
              <c:f>Qualifications!$Q$32</c:f>
              <c:numCache>
                <c:formatCode>0%</c:formatCode>
                <c:ptCount val="1"/>
                <c:pt idx="0">
                  <c:v>0.24068459267533709</c:v>
                </c:pt>
              </c:numCache>
            </c:numRef>
          </c:val>
        </c:ser>
        <c:ser>
          <c:idx val="4"/>
          <c:order val="4"/>
          <c:tx>
            <c:strRef>
              <c:f>Qualifications!$R$26</c:f>
              <c:strCache>
                <c:ptCount val="1"/>
                <c:pt idx="0">
                  <c:v>NZQA Certificate</c:v>
                </c:pt>
              </c:strCache>
            </c:strRef>
          </c:tx>
          <c:invertIfNegative val="0"/>
          <c:dLbls>
            <c:dLbl>
              <c:idx val="0"/>
              <c:tx>
                <c:rich>
                  <a:bodyPr/>
                  <a:lstStyle/>
                  <a:p>
                    <a:r>
                      <a:rPr lang="en-US" sz="1000" b="1" i="0" baseline="0">
                        <a:effectLst/>
                      </a:rPr>
                      <a:t>NZQA</a:t>
                    </a:r>
                    <a:r>
                      <a:rPr lang="en-US" sz="1000" b="0" i="0" baseline="0">
                        <a:effectLst/>
                      </a:rPr>
                      <a:t/>
                    </a:r>
                    <a:br>
                      <a:rPr lang="en-US" sz="1000" b="0" i="0" baseline="0">
                        <a:effectLst/>
                      </a:rPr>
                    </a:br>
                    <a:r>
                      <a:rPr lang="en-US" sz="1000" b="1" i="0" baseline="0">
                        <a:effectLst/>
                      </a:rPr>
                      <a:t>Certificate</a:t>
                    </a:r>
                    <a:endParaRPr lang="en-US" sz="1000">
                      <a:effectLst/>
                    </a:endParaRP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Qualifications!$M$32</c:f>
              <c:strCache>
                <c:ptCount val="1"/>
                <c:pt idx="0">
                  <c:v>National (including HHL)</c:v>
                </c:pt>
              </c:strCache>
            </c:strRef>
          </c:cat>
          <c:val>
            <c:numRef>
              <c:f>Qualifications!$R$32</c:f>
              <c:numCache>
                <c:formatCode>0%</c:formatCode>
                <c:ptCount val="1"/>
                <c:pt idx="0">
                  <c:v>2.4615016356817999E-2</c:v>
                </c:pt>
              </c:numCache>
            </c:numRef>
          </c:val>
        </c:ser>
        <c:ser>
          <c:idx val="5"/>
          <c:order val="5"/>
          <c:tx>
            <c:strRef>
              <c:f>Qualifications!$S$26</c:f>
              <c:strCache>
                <c:ptCount val="1"/>
                <c:pt idx="0">
                  <c:v>Graduate/Post-Graduate</c:v>
                </c:pt>
              </c:strCache>
            </c:strRef>
          </c:tx>
          <c:invertIfNegative val="0"/>
          <c:dLbls>
            <c:dLbl>
              <c:idx val="0"/>
              <c:tx>
                <c:rich>
                  <a:bodyPr/>
                  <a:lstStyle/>
                  <a:p>
                    <a:r>
                      <a:rPr lang="en-US" sz="1000" b="1" i="0" baseline="0">
                        <a:effectLst/>
                      </a:rPr>
                      <a:t>Graduate</a:t>
                    </a:r>
                    <a:r>
                      <a:rPr lang="en-US" sz="1000" b="0" i="0" baseline="0">
                        <a:effectLst/>
                      </a:rPr>
                      <a:t/>
                    </a:r>
                    <a:br>
                      <a:rPr lang="en-US" sz="1000" b="0" i="0" baseline="0">
                        <a:effectLst/>
                      </a:rPr>
                    </a:br>
                    <a:r>
                      <a:rPr lang="en-US" sz="1000" b="0" i="0" baseline="0">
                        <a:effectLst/>
                      </a:rPr>
                      <a:t> </a:t>
                    </a:r>
                    <a:r>
                      <a:rPr lang="en-US" sz="1000" b="1" i="0" baseline="0">
                        <a:effectLst/>
                      </a:rPr>
                      <a:t>or</a:t>
                    </a:r>
                    <a:r>
                      <a:rPr lang="en-US" sz="1000" b="0" i="0" baseline="0">
                        <a:effectLst/>
                      </a:rPr>
                      <a:t> </a:t>
                    </a:r>
                    <a:r>
                      <a:rPr lang="en-US" sz="1000" b="1" i="0" baseline="0">
                        <a:effectLst/>
                      </a:rPr>
                      <a:t>Post</a:t>
                    </a:r>
                    <a:br>
                      <a:rPr lang="en-US" sz="1000" b="1" i="0" baseline="0">
                        <a:effectLst/>
                      </a:rPr>
                    </a:br>
                    <a:r>
                      <a:rPr lang="en-US" sz="1000" b="1" i="0" baseline="0">
                        <a:effectLst/>
                      </a:rPr>
                      <a:t>Graduate</a:t>
                    </a:r>
                    <a:endParaRPr lang="en-US" sz="1000">
                      <a:effectLst/>
                    </a:endParaRP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Qualifications!$M$32</c:f>
              <c:strCache>
                <c:ptCount val="1"/>
                <c:pt idx="0">
                  <c:v>National (including HHL)</c:v>
                </c:pt>
              </c:strCache>
            </c:strRef>
          </c:cat>
          <c:val>
            <c:numRef>
              <c:f>Qualifications!$S$32</c:f>
              <c:numCache>
                <c:formatCode>0%</c:formatCode>
                <c:ptCount val="1"/>
                <c:pt idx="0">
                  <c:v>4.3485199074443466E-3</c:v>
                </c:pt>
              </c:numCache>
            </c:numRef>
          </c:val>
        </c:ser>
        <c:ser>
          <c:idx val="6"/>
          <c:order val="6"/>
          <c:tx>
            <c:strRef>
              <c:f>Qualifications!$T$26</c:f>
              <c:strCache>
                <c:ptCount val="1"/>
                <c:pt idx="0">
                  <c:v>Other</c:v>
                </c:pt>
              </c:strCache>
            </c:strRef>
          </c:tx>
          <c:invertIfNegative val="0"/>
          <c:dLbls>
            <c:dLbl>
              <c:idx val="0"/>
              <c:tx>
                <c:rich>
                  <a:bodyPr/>
                  <a:lstStyle/>
                  <a:p>
                    <a:r>
                      <a:rPr lang="en-US" sz="1000" b="1" i="0" baseline="0">
                        <a:effectLst/>
                      </a:rPr>
                      <a:t>Other</a:t>
                    </a:r>
                    <a:endParaRPr lang="en-US" sz="1000">
                      <a:effectLst/>
                    </a:endParaRP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Qualifications!$M$32</c:f>
              <c:strCache>
                <c:ptCount val="1"/>
                <c:pt idx="0">
                  <c:v>National (including HHL)</c:v>
                </c:pt>
              </c:strCache>
            </c:strRef>
          </c:cat>
          <c:val>
            <c:numRef>
              <c:f>Qualifications!$T$32</c:f>
              <c:numCache>
                <c:formatCode>0%</c:formatCode>
                <c:ptCount val="1"/>
                <c:pt idx="0">
                  <c:v>2.8085853347163486E-2</c:v>
                </c:pt>
              </c:numCache>
            </c:numRef>
          </c:val>
        </c:ser>
        <c:dLbls>
          <c:showLegendKey val="0"/>
          <c:showVal val="0"/>
          <c:showCatName val="0"/>
          <c:showSerName val="0"/>
          <c:showPercent val="0"/>
          <c:showBubbleSize val="0"/>
        </c:dLbls>
        <c:gapWidth val="150"/>
        <c:axId val="170598784"/>
        <c:axId val="170600704"/>
      </c:barChart>
      <c:catAx>
        <c:axId val="170598784"/>
        <c:scaling>
          <c:orientation val="minMax"/>
        </c:scaling>
        <c:delete val="0"/>
        <c:axPos val="b"/>
        <c:title>
          <c:tx>
            <c:rich>
              <a:bodyPr/>
              <a:lstStyle/>
              <a:p>
                <a:pPr>
                  <a:defRPr/>
                </a:pPr>
                <a:r>
                  <a:rPr lang="en-NZ" b="0"/>
                  <a:t>Qualifications of Home and Community Support</a:t>
                </a:r>
                <a:r>
                  <a:rPr lang="en-NZ" b="0" baseline="0"/>
                  <a:t> Workers</a:t>
                </a:r>
                <a:endParaRPr lang="en-NZ" b="0"/>
              </a:p>
            </c:rich>
          </c:tx>
          <c:overlay val="0"/>
        </c:title>
        <c:numFmt formatCode="General" sourceLinked="0"/>
        <c:majorTickMark val="none"/>
        <c:minorTickMark val="none"/>
        <c:tickLblPos val="none"/>
        <c:crossAx val="170600704"/>
        <c:crosses val="autoZero"/>
        <c:auto val="1"/>
        <c:lblAlgn val="ctr"/>
        <c:lblOffset val="100"/>
        <c:noMultiLvlLbl val="0"/>
      </c:catAx>
      <c:valAx>
        <c:axId val="170600704"/>
        <c:scaling>
          <c:orientation val="minMax"/>
        </c:scaling>
        <c:delete val="0"/>
        <c:axPos val="l"/>
        <c:majorGridlines/>
        <c:numFmt formatCode="0%" sourceLinked="1"/>
        <c:majorTickMark val="none"/>
        <c:minorTickMark val="none"/>
        <c:tickLblPos val="nextTo"/>
        <c:crossAx val="170598784"/>
        <c:crosses val="autoZero"/>
        <c:crossBetween val="between"/>
      </c:valAx>
    </c:plotArea>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'Continuity 2'!$B$72</c:f>
              <c:strCache>
                <c:ptCount val="1"/>
                <c:pt idx="0">
                  <c:v>No consistency</c:v>
                </c:pt>
              </c:strCache>
            </c:strRef>
          </c:tx>
          <c:invertIfNegative val="0"/>
          <c:dLbls>
            <c:dLbl>
              <c:idx val="0"/>
              <c:tx>
                <c:rich>
                  <a:bodyPr/>
                  <a:lstStyle/>
                  <a:p>
                    <a:pPr>
                      <a:defRPr sz="900" b="1">
                        <a:latin typeface="Arial" panose="020B0604020202020204" pitchFamily="34" charset="0"/>
                        <a:cs typeface="Arial" panose="020B0604020202020204" pitchFamily="34" charset="0"/>
                      </a:defRPr>
                    </a:pPr>
                    <a:r>
                      <a:rPr lang="en-US" sz="900" b="1">
                        <a:latin typeface="Arial" panose="020B0604020202020204" pitchFamily="34" charset="0"/>
                        <a:cs typeface="Arial" panose="020B0604020202020204" pitchFamily="34" charset="0"/>
                      </a:rPr>
                      <a:t>No </a:t>
                    </a:r>
                    <a:br>
                      <a:rPr lang="en-US" sz="900" b="1">
                        <a:latin typeface="Arial" panose="020B0604020202020204" pitchFamily="34" charset="0"/>
                        <a:cs typeface="Arial" panose="020B0604020202020204" pitchFamily="34" charset="0"/>
                      </a:rPr>
                    </a:br>
                    <a:r>
                      <a:rPr lang="en-US" sz="900" b="1">
                        <a:latin typeface="Arial" panose="020B0604020202020204" pitchFamily="34" charset="0"/>
                        <a:cs typeface="Arial" panose="020B0604020202020204" pitchFamily="34" charset="0"/>
                      </a:rPr>
                      <a:t>consistency</a:t>
                    </a:r>
                  </a:p>
                </c:rich>
              </c:tx>
              <c:spPr/>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'Continuity 2'!$A$77</c:f>
              <c:strCache>
                <c:ptCount val="1"/>
                <c:pt idx="0">
                  <c:v>National</c:v>
                </c:pt>
              </c:strCache>
            </c:strRef>
          </c:cat>
          <c:val>
            <c:numRef>
              <c:f>'Continuity 2'!$B$77</c:f>
              <c:numCache>
                <c:formatCode>0%</c:formatCode>
                <c:ptCount val="1"/>
                <c:pt idx="0">
                  <c:v>0.21092000814166498</c:v>
                </c:pt>
              </c:numCache>
            </c:numRef>
          </c:val>
        </c:ser>
        <c:ser>
          <c:idx val="1"/>
          <c:order val="1"/>
          <c:tx>
            <c:strRef>
              <c:f>'Continuity 2'!$C$72</c:f>
              <c:strCache>
                <c:ptCount val="1"/>
                <c:pt idx="0">
                  <c:v>2 weeks</c:v>
                </c:pt>
              </c:strCache>
            </c:strRef>
          </c:tx>
          <c:invertIfNegative val="0"/>
          <c:dLbls>
            <c:dLbl>
              <c:idx val="0"/>
              <c:layout>
                <c:manualLayout>
                  <c:x val="0"/>
                  <c:y val="0.44793078372719231"/>
                </c:manualLayout>
              </c:layout>
              <c:tx>
                <c:rich>
                  <a:bodyPr/>
                  <a:lstStyle/>
                  <a:p>
                    <a:r>
                      <a:rPr lang="en-US" sz="900" b="1">
                        <a:latin typeface="Arial" panose="020B0604020202020204" pitchFamily="34" charset="0"/>
                        <a:cs typeface="Arial" panose="020B0604020202020204" pitchFamily="34" charset="0"/>
                      </a:rPr>
                      <a:t>Consistency in</a:t>
                    </a:r>
                    <a:br>
                      <a:rPr lang="en-US" sz="900" b="1">
                        <a:latin typeface="Arial" panose="020B0604020202020204" pitchFamily="34" charset="0"/>
                        <a:cs typeface="Arial" panose="020B0604020202020204" pitchFamily="34" charset="0"/>
                      </a:rPr>
                    </a:br>
                    <a:r>
                      <a:rPr lang="en-US" sz="900" b="1">
                        <a:latin typeface="Arial" panose="020B0604020202020204" pitchFamily="34" charset="0"/>
                        <a:cs typeface="Arial" panose="020B0604020202020204" pitchFamily="34" charset="0"/>
                      </a:rPr>
                      <a:t>2 weeks</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'Continuity 2'!$A$77</c:f>
              <c:strCache>
                <c:ptCount val="1"/>
                <c:pt idx="0">
                  <c:v>National</c:v>
                </c:pt>
              </c:strCache>
            </c:strRef>
          </c:cat>
          <c:val>
            <c:numRef>
              <c:f>'Continuity 2'!$C$77</c:f>
              <c:numCache>
                <c:formatCode>0%</c:formatCode>
                <c:ptCount val="1"/>
                <c:pt idx="0">
                  <c:v>0.40871158151842052</c:v>
                </c:pt>
              </c:numCache>
            </c:numRef>
          </c:val>
        </c:ser>
        <c:ser>
          <c:idx val="2"/>
          <c:order val="2"/>
          <c:tx>
            <c:strRef>
              <c:f>'Continuity 2'!$D$72</c:f>
              <c:strCache>
                <c:ptCount val="1"/>
                <c:pt idx="0">
                  <c:v>3 weeks</c:v>
                </c:pt>
              </c:strCache>
            </c:strRef>
          </c:tx>
          <c:invertIfNegative val="0"/>
          <c:dLbls>
            <c:dLbl>
              <c:idx val="0"/>
              <c:tx>
                <c:rich>
                  <a:bodyPr/>
                  <a:lstStyle/>
                  <a:p>
                    <a:r>
                      <a:rPr lang="en-US" sz="900" b="1">
                        <a:latin typeface="Arial" panose="020B0604020202020204" pitchFamily="34" charset="0"/>
                        <a:cs typeface="Arial" panose="020B0604020202020204" pitchFamily="34" charset="0"/>
                      </a:rPr>
                      <a:t>Consistency</a:t>
                    </a:r>
                    <a:r>
                      <a:rPr lang="en-US" sz="900" b="1" baseline="0">
                        <a:latin typeface="Arial" panose="020B0604020202020204" pitchFamily="34" charset="0"/>
                        <a:cs typeface="Arial" panose="020B0604020202020204" pitchFamily="34" charset="0"/>
                      </a:rPr>
                      <a:t> in</a:t>
                    </a:r>
                    <a:br>
                      <a:rPr lang="en-US" sz="900" b="1" baseline="0">
                        <a:latin typeface="Arial" panose="020B0604020202020204" pitchFamily="34" charset="0"/>
                        <a:cs typeface="Arial" panose="020B0604020202020204" pitchFamily="34" charset="0"/>
                      </a:rPr>
                    </a:br>
                    <a:r>
                      <a:rPr lang="en-US" sz="900" b="1" baseline="0">
                        <a:latin typeface="Arial" panose="020B0604020202020204" pitchFamily="34" charset="0"/>
                        <a:cs typeface="Arial" panose="020B0604020202020204" pitchFamily="34" charset="0"/>
                      </a:rPr>
                      <a:t>3 weeks</a:t>
                    </a:r>
                    <a:endParaRPr lang="en-US" sz="900" b="1">
                      <a:latin typeface="Arial" panose="020B0604020202020204" pitchFamily="34" charset="0"/>
                      <a:cs typeface="Arial" panose="020B0604020202020204" pitchFamily="34" charset="0"/>
                    </a:endParaRPr>
                  </a:p>
                </c:rich>
              </c:tx>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'Continuity 2'!$A$77</c:f>
              <c:strCache>
                <c:ptCount val="1"/>
                <c:pt idx="0">
                  <c:v>National</c:v>
                </c:pt>
              </c:strCache>
            </c:strRef>
          </c:cat>
          <c:val>
            <c:numRef>
              <c:f>'Continuity 2'!$D$77</c:f>
              <c:numCache>
                <c:formatCode>0%</c:formatCode>
                <c:ptCount val="1"/>
                <c:pt idx="0">
                  <c:v>0.1953490738856096</c:v>
                </c:pt>
              </c:numCache>
            </c:numRef>
          </c:val>
        </c:ser>
        <c:ser>
          <c:idx val="3"/>
          <c:order val="3"/>
          <c:tx>
            <c:strRef>
              <c:f>'Continuity 2'!$E$72</c:f>
              <c:strCache>
                <c:ptCount val="1"/>
                <c:pt idx="0">
                  <c:v>4 weeks</c:v>
                </c:pt>
              </c:strCache>
            </c:strRef>
          </c:tx>
          <c:invertIfNegative val="0"/>
          <c:dLbls>
            <c:dLbl>
              <c:idx val="0"/>
              <c:tx>
                <c:rich>
                  <a:bodyPr/>
                  <a:lstStyle/>
                  <a:p>
                    <a:r>
                      <a:rPr lang="en-US" sz="900" b="1">
                        <a:latin typeface="Arial" panose="020B0604020202020204" pitchFamily="34" charset="0"/>
                        <a:cs typeface="Arial" panose="020B0604020202020204" pitchFamily="34" charset="0"/>
                      </a:rPr>
                      <a:t>Consistency in</a:t>
                    </a:r>
                    <a:br>
                      <a:rPr lang="en-US" sz="900" b="1">
                        <a:latin typeface="Arial" panose="020B0604020202020204" pitchFamily="34" charset="0"/>
                        <a:cs typeface="Arial" panose="020B0604020202020204" pitchFamily="34" charset="0"/>
                      </a:rPr>
                    </a:br>
                    <a:r>
                      <a:rPr lang="en-US" sz="900" b="1">
                        <a:latin typeface="Arial" panose="020B0604020202020204" pitchFamily="34" charset="0"/>
                        <a:cs typeface="Arial" panose="020B0604020202020204" pitchFamily="34" charset="0"/>
                      </a:rPr>
                      <a:t>all 4 weeks</a:t>
                    </a:r>
                  </a:p>
                </c:rich>
              </c:tx>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'Continuity 2'!$A$77</c:f>
              <c:strCache>
                <c:ptCount val="1"/>
                <c:pt idx="0">
                  <c:v>National</c:v>
                </c:pt>
              </c:strCache>
            </c:strRef>
          </c:cat>
          <c:val>
            <c:numRef>
              <c:f>'Continuity 2'!$E$77</c:f>
              <c:numCache>
                <c:formatCode>0%</c:formatCode>
                <c:ptCount val="1"/>
                <c:pt idx="0">
                  <c:v>0.18501933645430491</c:v>
                </c:pt>
              </c:numCache>
            </c:numRef>
          </c:val>
        </c:ser>
        <c:dLbls>
          <c:showLegendKey val="0"/>
          <c:showVal val="0"/>
          <c:showCatName val="0"/>
          <c:showSerName val="0"/>
          <c:showPercent val="0"/>
          <c:showBubbleSize val="0"/>
        </c:dLbls>
        <c:gapWidth val="150"/>
        <c:axId val="170640896"/>
        <c:axId val="170642816"/>
      </c:barChart>
      <c:catAx>
        <c:axId val="170640896"/>
        <c:scaling>
          <c:orientation val="minMax"/>
        </c:scaling>
        <c:delete val="1"/>
        <c:axPos val="b"/>
        <c:title>
          <c:tx>
            <c:rich>
              <a:bodyPr/>
              <a:lstStyle/>
              <a:p>
                <a:pPr>
                  <a:defRPr/>
                </a:pPr>
                <a:r>
                  <a:rPr lang="en-NZ" b="0"/>
                  <a:t>Duration of</a:t>
                </a:r>
                <a:r>
                  <a:rPr lang="en-NZ"/>
                  <a:t> </a:t>
                </a:r>
                <a:r>
                  <a:rPr lang="en-NZ" b="0"/>
                  <a:t>Consistent</a:t>
                </a:r>
                <a:r>
                  <a:rPr lang="en-NZ" baseline="0"/>
                  <a:t> </a:t>
                </a:r>
                <a:r>
                  <a:rPr lang="en-NZ" b="0" baseline="0"/>
                  <a:t>Hours</a:t>
                </a:r>
                <a:endParaRPr lang="en-NZ" b="0"/>
              </a:p>
            </c:rich>
          </c:tx>
          <c:layout>
            <c:manualLayout>
              <c:xMode val="edge"/>
              <c:yMode val="edge"/>
              <c:x val="0.38083329683900746"/>
              <c:y val="0.88368401318256273"/>
            </c:manualLayout>
          </c:layout>
          <c:overlay val="0"/>
        </c:title>
        <c:numFmt formatCode="General" sourceLinked="0"/>
        <c:majorTickMark val="none"/>
        <c:minorTickMark val="none"/>
        <c:tickLblPos val="nextTo"/>
        <c:crossAx val="170642816"/>
        <c:crosses val="autoZero"/>
        <c:auto val="0"/>
        <c:lblAlgn val="ctr"/>
        <c:lblOffset val="100"/>
        <c:noMultiLvlLbl val="0"/>
      </c:catAx>
      <c:valAx>
        <c:axId val="170642816"/>
        <c:scaling>
          <c:orientation val="minMax"/>
        </c:scaling>
        <c:delete val="0"/>
        <c:axPos val="l"/>
        <c:majorGridlines/>
        <c:numFmt formatCode="0%" sourceLinked="1"/>
        <c:majorTickMark val="none"/>
        <c:minorTickMark val="none"/>
        <c:tickLblPos val="nextTo"/>
        <c:txPr>
          <a:bodyPr/>
          <a:lstStyle/>
          <a:p>
            <a:pPr>
              <a:defRPr sz="900"/>
            </a:pPr>
            <a:endParaRPr lang="en-US"/>
          </a:p>
        </c:txPr>
        <c:crossAx val="170640896"/>
        <c:crosses val="autoZero"/>
        <c:crossBetween val="between"/>
      </c:valAx>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3B0D9-9FEC-4465-964B-65C861A4D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0</TotalTime>
  <Pages>1</Pages>
  <Words>14907</Words>
  <Characters>84976</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Grain</dc:creator>
  <cp:lastModifiedBy>Ministry of Health</cp:lastModifiedBy>
  <cp:revision>1</cp:revision>
  <cp:lastPrinted>2015-07-29T20:24:00Z</cp:lastPrinted>
  <dcterms:created xsi:type="dcterms:W3CDTF">2015-08-16T22:16:00Z</dcterms:created>
  <dcterms:modified xsi:type="dcterms:W3CDTF">2015-08-16T22:16:00Z</dcterms:modified>
</cp:coreProperties>
</file>